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0xae537206d4274b4b8591e21a259e9f73c2449339</w:t>
      </w:r>
    </w:p>
    <w:p>
      <w:r>
        <w:t xml:space="preserve">Token: n/a</w:t>
      </w:r>
    </w:p>
    <w:p>
      <w:r>
        <w:t xml:space="preserve">Risk Score: 95</w:t>
      </w:r>
    </w:p>
    <w:p>
      <w:r>
        <w:t xml:space="preserve">Generated: 2026-01-18T13:40:17.274Z</w:t>
      </w:r>
    </w:p>
    <w:p>
      <w:r>
        <w:t xml:space="preserve">AI Narrative</w:t>
      </w:r>
    </w:p>
    <w:p>
      <w:r>
        <w:t xml:space="preserve">Address: 0xae537206d4274b4b8591e21a259e9f73c2449339  
Chain: Base  
Activity: 18,567 transactions, currently active  
Key Findings:  
- No activity on major chains (Ethereum, Polygon, BSC, Arbitrum, Optimism, Avalanche Fuji, Sepolia).  
- Highly active exclusively on Base chain, indicating focused operations.  
- Alert for PUMP_AND_DUMP with extreme price manipulation: a 224,215,246,636,771,168% pump followed by a 100% dump.  
- Classic pump and dump pattern suggests market manipulation to artificially inflate token value before a rapid sell-off.  
- Such behavior is a red flag for fraudulent schemes, likely harming retail investors.  
Summary:  
This address is heavily involved in suspicious trading activity on the Base chain, exhibiting textbook pump and dump manipulation. The extreme price volatility and rapid dump indicate deliberate market manipulation, posing significant risk to counterparties and investors. Caution and further monitoring are strongly advised.</w:t>
      </w:r>
    </w:p>
    <w:p>
      <w:r>
        <w:t xml:space="preserve">SAR Summary</w:t>
      </w:r>
    </w:p>
    <w:p>
      <w:r>
        <w:t xml:space="preserve">Entity: Address 0xae537206d4274b4b8591e21a259e9f73c2449339  
Chain Footprint: Exclusively active on Base chain with 18,567 transactions; no activity on Ethereum, Polygon, BSC, Arbitrum, Optimism, Avalanche Fuji, or Sepolia.  
Key Behavior: Detected pump and dump scheme characterized by an extreme 224,215,246,636,771,168% price pump immediately followed by a 100% price dump.  
Risk Rationale: The pattern reflects classic market manipulation aimed at artificially inflating token prices to mislead investors, followed by rapid sell-off causing significant financial harm to retail participants. Such conduct is indicative of fraudulent activity and market abuse.  
Suggested Compliance Action: Flag and monitor the address for ongoing suspicious activity; consider enhanced due diligence on counterparties interacting with this entity; report findings to relevant regulatory authorities for potential investigation; restrict or suspend trading privileges if applicable.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18567</w:t>
            </w:r>
          </w:p>
        </w:tc>
        <w:tc>
          <w:p>
            <w:r>
              <w:t xml:space="preserve">249664847461132538</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PUMP_AND_DUMP</w:t>
            </w:r>
          </w:p>
        </w:tc>
        <w:tc>
          <w:p>
            <w:r>
              <w:t xml:space="preserve">95</w:t>
            </w:r>
          </w:p>
        </w:tc>
        <w:tc>
          <w:p>
            <w:r>
              <w:t xml:space="preserve">critical</w:t>
            </w:r>
          </w:p>
        </w:tc>
        <w:tc>
          <w:p>
            <w:r>
              <w:t xml:space="preserve">Pump and dump scheme detected: 224215246636771168.00% pump followed by -100.00% dump. Classic manipulation pattern.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2026-01-18T13:40:20.689Z</dcterms:created>
  <dcterms:modified xsi:type="dcterms:W3CDTF">2026-01-18T13:40:20.689Z</dcterms:modified>
</cp:coreProperties>
</file>

<file path=docProps/custom.xml><?xml version="1.0" encoding="utf-8"?>
<Properties xmlns="http://schemas.openxmlformats.org/officeDocument/2006/custom-properties" xmlns:vt="http://schemas.openxmlformats.org/officeDocument/2006/docPropsVTypes"/>
</file>