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0xae537206d4274b4b8591e21a259e9f73c2449339</w:t>
      </w:r>
    </w:p>
    <w:p>
      <w:r>
        <w:t xml:space="preserve">Token: n/a</w:t>
      </w:r>
    </w:p>
    <w:p>
      <w:r>
        <w:t xml:space="preserve">Risk Score: 20</w:t>
      </w:r>
    </w:p>
    <w:p>
      <w:r>
        <w:t xml:space="preserve">Generated: 2026-01-18T13:51:19.060Z</w:t>
      </w:r>
    </w:p>
    <w:p>
      <w:r>
        <w:t xml:space="preserve">AI Narrative</w:t>
      </w:r>
    </w:p>
    <w:p>
      <w:r>
        <w:t xml:space="preserve">Address 0xae537206d4274b4b8591e21a259e9f73c2449339 Analysis:
- Chain Activity:
  - Exclusively active on Base chain with 18,570 transactions.
  - No activity on Ethereum, Polygon, BSC, Arbitrum, Optimism, Avalanche-Fuji, or Sepolia.
- Token Interaction:
  - No specific token transfers or holdings noted.
- Alerts:
  - No alerts or flagged behavior detected.
- Red Flags/Manipulation:
  - High transaction volume solely on Base chain could indicate automated or bot activity.
  - Lack of cross-chain activity may suggest isolated or specialized use.
  - Absence of alerts reduces suspicion but does not guarantee clean behavior.
Summary: The address is highly active on the Base chain with a significant number of transactions but shows no activity elsewhere. No direct red flags or alerts are present; however, the concentrated activity may warrant monitoring for potential automated or manipulative patterns.</w:t>
      </w:r>
    </w:p>
    <w:p>
      <w:r>
        <w:t xml:space="preserve">SAR Summary</w:t>
      </w:r>
    </w:p>
    <w:p>
      <w:r>
        <w:t xml:space="preserve">Entity: Address 0xae537206d4274b4b8591e21a259e9f73c2449339  
Key Behavior: Exclusively active on the Base blockchain with 18,570 transactions; no activity on other major chains (Ethereum, Polygon, BSC, Arbitrum, Optimism, Avalanche-Fuji, Sepolia). No token transfers or holdings identified.  
Risk Rationale: High transaction volume confined to a single chain may indicate automated or bot-driven activity. Absence of alerts or flagged behavior reduces immediate suspicion but does not eliminate potential risk. Lack of cross-chain interaction suggests specialized or isolated use case.  
Chain Footprint: Solely active on Base chain; inactive on all other monitored chains.  
Suggested Compliance Action: Maintain routine monitoring for unusual transaction patterns or emerging alerts. No immediate action required given current cleared status and absence of suspicious indicators. Consider periodic review to detect any shift in behavior or risk profile.</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No</w:t>
            </w:r>
          </w:p>
        </w:tc>
        <w:tc>
          <w:p>
            <w:r>
              <w:t xml:space="preserve">0</w:t>
            </w:r>
          </w:p>
        </w:tc>
        <w:tc>
          <w:p>
            <w:r>
              <w:t xml:space="preserve">0</w:t>
            </w:r>
          </w:p>
        </w:tc>
      </w:tr>
      <w:tr>
        <w:tc>
          <w:p>
            <w:r>
              <w:t xml:space="preserve">polygon</w:t>
            </w:r>
          </w:p>
        </w:tc>
        <w:tc>
          <w:p>
            <w:r>
              <w:t xml:space="preserve">No</w:t>
            </w:r>
          </w:p>
        </w:tc>
        <w:tc>
          <w:p>
            <w:r>
              <w:t xml:space="preserve">0</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No</w:t>
            </w:r>
          </w:p>
        </w:tc>
        <w:tc>
          <w:p>
            <w:r>
              <w:t xml:space="preserve">0</w:t>
            </w:r>
          </w:p>
        </w:tc>
        <w:tc>
          <w:p>
            <w:r>
              <w:t xml:space="preserve">0</w:t>
            </w:r>
          </w:p>
        </w:tc>
      </w:tr>
      <w:tr>
        <w:tc>
          <w:p>
            <w:r>
              <w:t xml:space="preserve">optimism</w:t>
            </w:r>
          </w:p>
        </w:tc>
        <w:tc>
          <w:p>
            <w:r>
              <w:t xml:space="preserve">No</w:t>
            </w:r>
          </w:p>
        </w:tc>
        <w:tc>
          <w:p>
            <w:r>
              <w:t xml:space="preserve">0</w:t>
            </w:r>
          </w:p>
        </w:tc>
        <w:tc>
          <w:p>
            <w:r>
              <w:t xml:space="preserve">0</w:t>
            </w:r>
          </w:p>
        </w:tc>
      </w:tr>
      <w:tr>
        <w:tc>
          <w:p>
            <w:r>
              <w:t xml:space="preserve">base</w:t>
            </w:r>
          </w:p>
        </w:tc>
        <w:tc>
          <w:p>
            <w:r>
              <w:t xml:space="preserve">Yes</w:t>
            </w:r>
          </w:p>
        </w:tc>
        <w:tc>
          <w:p>
            <w:r>
              <w:t xml:space="preserve">18570</w:t>
            </w:r>
          </w:p>
        </w:tc>
        <w:tc>
          <w:p>
            <w:r>
              <w:t xml:space="preserve">128755817680432411</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2026-01-18T13:51:23.359Z</dcterms:created>
  <dcterms:modified xsi:type="dcterms:W3CDTF">2026-01-18T13:51:23.359Z</dcterms:modified>
</cp:coreProperties>
</file>

<file path=docProps/custom.xml><?xml version="1.0" encoding="utf-8"?>
<Properties xmlns="http://schemas.openxmlformats.org/officeDocument/2006/custom-properties" xmlns:vt="http://schemas.openxmlformats.org/officeDocument/2006/docPropsVTypes"/>
</file>