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0xb8c1a2f818c18fd5de0f2c5caf2f778db9383841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2026-01-18T13:32:31.479Z</w:t>
      </w:r>
    </w:p>
    <w:p>
      <w:r>
        <w:t xml:space="preserve">AI Narrative</w:t>
      </w:r>
    </w:p>
    <w:p>
      <w:r>
        <w:t xml:space="preserve">Address 0xb8c1a2f818c18fd5de0f2c5caf2f778db9383841 Analysis:
- No transaction activity detected across major chains (Ethereum, Polygon, BSC, Arbitrum, Optimism, Base, Avalanche Fuji, Sepolia).
- No associated tokens or contract interactions.
- No alerts or flags raised by monitoring systems.
- Inactive address with no on-chain footprint, indicating no current or past usage.
- No evidence of manipulation, suspicious behavior, or compliance risks.
Summary: The address is dormant with zero activity and no red flags. No compliance concerns or manipulative patterns identified.</w:t>
      </w:r>
    </w:p>
    <w:p>
      <w:r>
        <w:t xml:space="preserve">SAR Summary</w:t>
      </w:r>
    </w:p>
    <w:p>
      <w:r>
        <w:t xml:space="preserve">Entity: Ethereum address 0xb8c1a2f818c18fd5de0f2c5caf2f778db9383841  
Key Behavior: Dormant address with zero transaction activity across all monitored chains (Ethereum, Polygon, BSC, Arbitrum, Optimism, Base, Avalanche Fuji, Sepolia). No token holdings or contract interactions detected.  
Risk Rationale: Absence of on-chain activity and lack of alerts indicate no involvement in suspicious or illicit behavior. The address poses minimal to no compliance risk.  
Chain Footprint: No transactions or active status on any major blockchain networks monitored.  
Suggested Compliance Action: No further action required; address is cleared with no indicators of risk or suspicious activity. Maintain monitoring for any future activity.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2026-01-18T13:32:34.464Z</dcterms:created>
  <dcterms:modified xsi:type="dcterms:W3CDTF">2026-01-18T13:32:34.464Z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