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0xb8c1a2f818c18fd5de0f2c5caf2f778db9383841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2026-01-18T13:42:27.682Z</w:t>
      </w:r>
    </w:p>
    <w:p>
      <w:r>
        <w:t xml:space="preserve">AI Narrative</w:t>
      </w:r>
    </w:p>
    <w:p>
      <w:r>
        <w:t xml:space="preserve">Address 0xb8c1a2f818c18fd5de0f2c5caf2f778db9383841 Analysis:
- No on-chain activity detected across major chains (Ethereum, Polygon, BSC, Arbitrum, Optimism, Base, Avalanche-Fuji, Sepolia).
- Zero transactions recorded; address is inactive.
- No tokens associated or transferred.
- No alerts or flags indicating suspicious behavior or manipulation.
- Likely a dormant or newly created wallet with no operational history.
- No evidence of involvement in scams, laundering, or other illicit activities.
Conclusion: The address currently poses no compliance or risk concerns due to complete inactivity and lack of transactional history.</w:t>
      </w:r>
    </w:p>
    <w:p>
      <w:r>
        <w:t xml:space="preserve">SAR Summary</w:t>
      </w:r>
    </w:p>
    <w:p>
      <w:r>
        <w:t xml:space="preserve">Entity: Wallet address 0xb8c1a2f818c18fd5de0f2c5caf2f778db9383841  
Key Behavior: No on-chain activity; zero transactions across multiple major blockchains (Ethereum, Polygon, BSC, Arbitrum, Optimism, Base, Avalanche-Fuji, Sepolia). No tokens held or transferred.  
Risk Rationale: Absence of transactional history or token movement indicates no engagement in suspicious or illicit activities. No alerts or flags detected.  
Chain Footprint: Completely inactive on all monitored chains; no recorded transactions or token associations.  
Suggested Compliance Action: No immediate action required. Continue monitoring for any future activity or alerts. Currently classified as low risk with no indicators of suspicious behavior.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2026-01-18T13:42:29.841Z</dcterms:created>
  <dcterms:modified xsi:type="dcterms:W3CDTF">2026-01-18T13:42:29.841Z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