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0xb8c1a2f818c18fd5de0f2c5caf2f778db9383841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2026-01-18T13:53:12.829Z</w:t>
      </w:r>
    </w:p>
    <w:p>
      <w:r>
        <w:t xml:space="preserve">AI Narrative</w:t>
      </w:r>
    </w:p>
    <w:p>
      <w:r>
        <w:t xml:space="preserve">- Address 0xb8c1a2f818c18fd5de0f2c5caf2f778db9383841 shows no transactional activity across major chains (Ethereum, Polygon, BSC, Arbitrum, Optimism, Base, Avalanche Fuji, Sepolia).
- No tokens held or transferred; no on-chain interactions detected.
- No alerts or flags indicating suspicious behavior or manipulation.
- The inactivity suggests this address is either newly created, dormant, or unused.
- No red flags or compliance concerns based on current data.</w:t>
      </w:r>
    </w:p>
    <w:p>
      <w:r>
        <w:t xml:space="preserve">SAR Summary</w:t>
      </w:r>
    </w:p>
    <w:p>
      <w:r>
        <w:t xml:space="preserve">Entity: Ethereum address 0xb8c1a2f818c18fd5de0f2c5caf2f778db9383841  
Key Behavior: No transactional activity or token holdings across multiple major chains (Ethereum, Polygon, BSC, Arbitrum, Optimism, Base, Avalanche Fuji, Sepolia).  
Risk Rationale: The address exhibits complete inactivity with zero transactions and no on-chain interactions, indicating it is either newly created, dormant, or unused. No suspicious patterns or alerts detected.  
Chain Footprint: No recorded transactions or token movements on any monitored chains.  
Suggested Compliance Action: No further action required at this time; monitor for future activity or alerts. Current status is cleared with a low risk score of 20.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2026-01-18T13:53:15.502Z</dcterms:created>
  <dcterms:modified xsi:type="dcterms:W3CDTF">2026-01-18T13:53:15.502Z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