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0xbc892e14f5276a12d7890b21c4567e912a3b4c56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2026-01-18T13:33:45.534Z</w:t>
      </w:r>
    </w:p>
    <w:p>
      <w:r>
        <w:t xml:space="preserve">AI Narrative</w:t>
      </w:r>
    </w:p>
    <w:p>
      <w:r>
        <w:t xml:space="preserve">Address 0xbc892e14f5276a12d7890b21c4567e912a3b4c56 Analysis:
- No on-chain activity detected across major chains (Ethereum, Polygon, BSC, Arbitrum, Optimism, Base, Avalanche-Fuji, Sepolia).
- Zero transactions recorded; address is inactive.
- No tokens associated or transferred.
- No alerts or flags raised by monitoring systems.
- No indications of manipulation, fraud, or suspicious behavior.
- Likely a dormant or newly created address without operational history.
Conclusion: The address shows no activity or risk indicators and currently poses no compliance concerns.</w:t>
      </w:r>
    </w:p>
    <w:p>
      <w:r>
        <w:t xml:space="preserve">SAR Summary</w:t>
      </w:r>
    </w:p>
    <w:p>
      <w:r>
        <w:t xml:space="preserve">Entity: Ethereum address 0xbc892e14f5276a12d7890b21c4567e912a3b4c56  
Key Behavior: No on-chain activity; zero transactions across multiple chains (Ethereum, Polygon, BSC, Arbitrum, Optimism, Base, Avalanche-Fuji, Sepolia). No token holdings or transfers.  
Risk Rationale: Absence of any transactional history or alerts indicates no engagement in suspicious or illicit activities. The address appears dormant or newly created without operational footprint.  
Chain Footprint: Inactive on all monitored chains; no recorded transactions or token interactions.  
Suggested Compliance Action: No immediate action required. Continue routine monitoring for any future activity or risk signals. Address currently poses no compliance or regulatory concerns.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2026-01-18T13:33:49.063Z</dcterms:created>
  <dcterms:modified xsi:type="dcterms:W3CDTF">2026-01-18T13:33:49.063Z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