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0xbc892e14f5276a12d7890b21c4567e912a3b4c56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2026-01-18T13:45:26.633Z</w:t>
      </w:r>
    </w:p>
    <w:p>
      <w:r>
        <w:t xml:space="preserve">AI Narrative</w:t>
      </w:r>
    </w:p>
    <w:p>
      <w:r>
        <w:t xml:space="preserve">Address 0xbc892e14f5276a12d7890b21c4567e912a3b4c56 Analysis:
- No transaction activity detected across major chains: Ethereum, Polygon, BSC, Arbitrum, Optimism, Base, Avalanche-Fuji, and Sepolia.
- The address is inactive with zero recorded transactions.
- No tokens associated or transferred.
- No alerts or flags indicating suspicious or manipulative behavior.
- Lack of activity suggests either a dormant or newly created address with no operational history.
- No evidence of manipulation, fraud, or compliance risks at this time.
Summary: The address is inactive and clean with no transaction history or alerts. No red flags or suspicious activity identified.</w:t>
      </w:r>
    </w:p>
    <w:p>
      <w:r>
        <w:t xml:space="preserve">SAR Summary</w:t>
      </w:r>
    </w:p>
    <w:p>
      <w:r>
        <w:t xml:space="preserve">Entity: Ethereum address 0xbc892e14f5276a12d7890b21c4567e912a3b4c56  
Key Behavior: No transaction activity or token holdings across multiple major blockchains (Ethereum, Polygon, BSC, Arbitrum, Optimism, Base, Avalanche-Fuji, Sepolia).  
Risk Rationale: The address shows zero operational history, no alerts, and no suspicious behavior, indicating a dormant or newly created account without compliance concerns.  
Chain Footprint: Inactive on all monitored chains with zero transactions and no token transfers.  
Suggested Compliance Action: No immediate action required; maintain monitoring for any future activity or alerts.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2026-01-18T13:45:30.654Z</dcterms:created>
  <dcterms:modified xsi:type="dcterms:W3CDTF">2026-01-18T13:45:30.654Z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