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0xbc892e14f5276a12d7890b21c4567e912a3b4c56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2026-01-18T13:53:55.397Z</w:t>
      </w:r>
    </w:p>
    <w:p>
      <w:r>
        <w:t xml:space="preserve">AI Narrative</w:t>
      </w:r>
    </w:p>
    <w:p>
      <w:r>
        <w:t xml:space="preserve">Address 0xbc892e14f5276a12d7890b21c4567e912a3b4c56 shows no transactional activity across major chains (Ethereum, Polygon, BSC, Arbitrum, Optimism, Base, Avalanche Fuji, Sepolia). 
Key points:
- Zero transactions on all monitored chains.
- No token holdings or transfers detected.
- No alerts or suspicious flags raised.
- Inactive status suggests no current engagement in blockchain activity.
- No evidence of manipulation, fraud, or red flags.
Conclusion: The address is dormant with no on-chain footprint, posing no immediate compliance or risk concerns.</w:t>
      </w:r>
    </w:p>
    <w:p>
      <w:r>
        <w:t xml:space="preserve">SAR Summary</w:t>
      </w:r>
    </w:p>
    <w:p>
      <w:r>
        <w:t xml:space="preserve">Entity: Address 0xbc892e14f5276a12d7890b21c4567e912a3b4c56  
Key Behavior: No transactional activity or token holdings across monitored chains (Ethereum, Polygon, BSC, Arbitrum, Optimism, Base, Avalanche Fuji, Sepolia).  
Risk Rationale: Absence of on-chain activity and alerts indicates no engagement in suspicious or illicit behavior.  
Chain Footprint: Zero transactions and inactive status on all major chains monitored.  
Suggested Compliance Action: No further action required; maintain monitoring for any future activity.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2026-01-18T13:53:59.705Z</dcterms:created>
  <dcterms:modified xsi:type="dcterms:W3CDTF">2026-01-18T13:53:59.705Z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