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0xd0d08887e8a5b16049534a7f3fc1de92848f5bea</w:t>
      </w:r>
    </w:p>
    <w:p>
      <w:r>
        <w:t xml:space="preserve">Token: n/a</w:t>
      </w:r>
    </w:p>
    <w:p>
      <w:r>
        <w:t xml:space="preserve">Risk Score: 20</w:t>
      </w:r>
    </w:p>
    <w:p>
      <w:r>
        <w:t xml:space="preserve">Generated: 2026-01-18T13:15:02.633Z</w:t>
      </w:r>
    </w:p>
    <w:p>
      <w:r>
        <w:t xml:space="preserve">AI Narrative</w:t>
      </w:r>
    </w:p>
    <w:p>
      <w:r>
        <w:t xml:space="preserve">Address 0xd0d08887e8a5b16049534a7f3fc1de92848f5bea exhibits extensive multi-chain activity with no direct token association:
- High transaction volumes on multiple chains:
  - Base: 305,129 tx (very high activity)
  - Arbitrum: 96,910 tx
  - Polygon: 73,212 tx
  - Optimism: 24,487 tx
  - Ethereum mainnet: 1,100 tx
- No activity on BSC, Avalanche Fuji, or Sepolia testnets.
- Active on major Layer 2 chains and Base, indicating sophisticated multi-chain operations.
- No alerts or flagged suspicious behavior detected.
- The absence of token holdings suggests this address may be used primarily for transaction routing, bridging, or as an operational wallet.
- The extremely high Base chain activity could warrant further monitoring for potential wash trading or automated bot operations, although no current red flags are present.
Summary: The address is a highly active multi-chain participant with no immediate signs of manipulation or illicit activity but merits ongoing observation due to its unusually high throughput on Base and Layer 2 networks.</w:t>
      </w:r>
    </w:p>
    <w:p>
      <w:r>
        <w:t xml:space="preserve">SAR Summary</w:t>
      </w:r>
    </w:p>
    <w:p>
      <w:r>
        <w:t xml:space="preserve">Entity: Address 0xd0d08887e8a5b16049534a7f3fc1de92848f5bea  
Key Behavior: Extensive multi-chain transaction activity without associated token holdings; primarily active on Base (305,129 tx), Arbitrum (96,910 tx), Polygon (73,212 tx), Optimism (24,487 tx), and Ethereum mainnet (1,100 tx). No activity on BSC, Avalanche Fuji, or Sepolia.  
Risk Rationale: High transaction volumes across multiple Layer 2 and Base chains suggest sophisticated operational use, potentially for routing, bridging, or automated bot activity. No alerts or suspicious flags currently detected. The exceptionally high Base chain throughput may indicate wash trading or bot-driven transactions, warranting further monitoring.  
Chain Footprint: Active on Ethereum mainnet, Base, Arbitrum, Polygon, and Optimism; inactive on BSC, Avalanche Fuji, and Sepolia testnets.  
Suggested Compliance Action: Maintain ongoing surveillance focusing on transaction patterns on Base and Layer 2 networks to detect potential wash trading or manipulative behavior. No immediate enforcement action recommended given the absence of alerts or illicit indicators.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1100</w:t>
            </w:r>
          </w:p>
        </w:tc>
        <w:tc>
          <w:p>
            <w:r>
              <w:t xml:space="preserve">1539610019873363911</w:t>
            </w:r>
          </w:p>
        </w:tc>
      </w:tr>
      <w:tr>
        <w:tc>
          <w:p>
            <w:r>
              <w:t xml:space="preserve">polygon</w:t>
            </w:r>
          </w:p>
        </w:tc>
        <w:tc>
          <w:p>
            <w:r>
              <w:t xml:space="preserve">Yes</w:t>
            </w:r>
          </w:p>
        </w:tc>
        <w:tc>
          <w:p>
            <w:r>
              <w:t xml:space="preserve">73212</w:t>
            </w:r>
          </w:p>
        </w:tc>
        <w:tc>
          <w:p>
            <w:r>
              <w:t xml:space="preserve">56955172488049404223574</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96910</w:t>
            </w:r>
          </w:p>
        </w:tc>
        <w:tc>
          <w:p>
            <w:r>
              <w:t xml:space="preserve">36000742275373516653</w:t>
            </w:r>
          </w:p>
        </w:tc>
      </w:tr>
      <w:tr>
        <w:tc>
          <w:p>
            <w:r>
              <w:t xml:space="preserve">optimism</w:t>
            </w:r>
          </w:p>
        </w:tc>
        <w:tc>
          <w:p>
            <w:r>
              <w:t xml:space="preserve">Yes</w:t>
            </w:r>
          </w:p>
        </w:tc>
        <w:tc>
          <w:p>
            <w:r>
              <w:t xml:space="preserve">24487</w:t>
            </w:r>
          </w:p>
        </w:tc>
        <w:tc>
          <w:p>
            <w:r>
              <w:t xml:space="preserve">28431163815409962394</w:t>
            </w:r>
          </w:p>
        </w:tc>
      </w:tr>
      <w:tr>
        <w:tc>
          <w:p>
            <w:r>
              <w:t xml:space="preserve">base</w:t>
            </w:r>
          </w:p>
        </w:tc>
        <w:tc>
          <w:p>
            <w:r>
              <w:t xml:space="preserve">Yes</w:t>
            </w:r>
          </w:p>
        </w:tc>
        <w:tc>
          <w:p>
            <w:r>
              <w:t xml:space="preserve">305129</w:t>
            </w:r>
          </w:p>
        </w:tc>
        <w:tc>
          <w:p>
            <w:r>
              <w:t xml:space="preserve">20346391817185976180</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2026-01-18T13:15:07.273Z</dcterms:created>
  <dcterms:modified xsi:type="dcterms:W3CDTF">2026-01-18T13:15:07.273Z</dcterms:modified>
</cp:coreProperties>
</file>

<file path=docProps/custom.xml><?xml version="1.0" encoding="utf-8"?>
<Properties xmlns="http://schemas.openxmlformats.org/officeDocument/2006/custom-properties" xmlns:vt="http://schemas.openxmlformats.org/officeDocument/2006/docPropsVTypes"/>
</file>