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0xd0d08887e8a5b16049534a7f3fc1de92848f5bea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2026-01-18T13:28:25.481Z</w:t>
      </w:r>
    </w:p>
    <w:p>
      <w:r>
        <w:t xml:space="preserve">AI Narrative</w:t>
      </w:r>
    </w:p>
    <w:p>
      <w:r>
        <w:t xml:space="preserve">Address 0xd0d08887e8a5b16049534a7f3fc1de92848f5bea exhibits the following activity and risk profile:
- Multi-chain presence with significant transaction volume on Base (305,233 tx), Polygon (73,217 tx), Arbitrum (96,955 tx), and Optimism (24,490 tx).
- Moderate activity on Ethereum mainnet (1,100 tx).
- No activity on Binance Smart Chain, Avalanche Fuji testnet, or Sepolia testnet.
- No alerts or flagged suspicious behavior detected across chains.
- High cross-chain activity could indicate legitimate multi-chain operations or potential layering attempts to obfuscate fund flows.
- Absence of alerts suggests no current known association with scams, hacks, or sanctioned entities.
- Recommend ongoing monitoring due to large volume and multi-chain complexity, which can be exploited for manipulation or money laundering.
Summary: The address is highly active across multiple Layer 2 and sidechains with no immediate red flags but warrants continued surveillance given the scale and diversity of transactions.</w:t>
      </w:r>
    </w:p>
    <w:p>
      <w:r>
        <w:t xml:space="preserve">SAR Summary</w:t>
      </w:r>
    </w:p>
    <w:p>
      <w:r>
        <w:t xml:space="preserve">Entity: Address 0xd0d08887e8a5b16049534a7f3fc1de92848f5bea  
Key Behavior: Extensive multi-chain activity with high transaction volumes on Base (305,233 tx), Arbitrum (96,955 tx), Polygon (73,217 tx), and Optimism (24,490 tx); moderate activity on Ethereum mainnet (1,100 tx); inactive on BSC, Avalanche Fuji, and Sepolia testnets.  
Risk Rationale: While no alerts or suspicious flags are present, the large volume and cross-chain operations may facilitate layering or obfuscation of fund flows, posing potential money laundering risks.  
Chain Footprint: Active on Ethereum, Polygon, Arbitrum, Optimism, and Base chains; inactive on Binance Smart Chain, Avalanche Fuji, and Sepolia.  
Suggested Compliance Action: No immediate action required; maintain enhanced ongoing monitoring to detect any emerging suspicious patterns given the address’s scale and multi-chain complexity.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1100</w:t>
            </w:r>
          </w:p>
        </w:tc>
        <w:tc>
          <w:p>
            <w:r>
              <w:t xml:space="preserve">1539610019873363911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73217</w:t>
            </w:r>
          </w:p>
        </w:tc>
        <w:tc>
          <w:p>
            <w:r>
              <w:t xml:space="preserve">56952507585959052043708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96955</w:t>
            </w:r>
          </w:p>
        </w:tc>
        <w:tc>
          <w:p>
            <w:r>
              <w:t xml:space="preserve">36000160517013418653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24490</w:t>
            </w:r>
          </w:p>
        </w:tc>
        <w:tc>
          <w:p>
            <w:r>
              <w:t xml:space="preserve">28130163534859891594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305233</w:t>
            </w:r>
          </w:p>
        </w:tc>
        <w:tc>
          <w:p>
            <w:r>
              <w:t xml:space="preserve">20044020116183399514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2026-01-18T13:28:29.709Z</dcterms:created>
  <dcterms:modified xsi:type="dcterms:W3CDTF">2026-01-18T13:28:29.709Z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