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0xdeae6a0f995c71f9c73adf596a0f4c1b497cb24d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2026-01-18T13:32:05.163Z</w:t>
      </w:r>
    </w:p>
    <w:p>
      <w:r>
        <w:t xml:space="preserve">AI Narrative</w:t>
      </w:r>
    </w:p>
    <w:p>
      <w:r>
        <w:t xml:space="preserve">- Address 0xdeae6a0f995c71f9c73adf596a0f4c1b497cb24d shows no transactional activity across major chains (Ethereum, Polygon, BSC, Arbitrum, Optimism, Base, Avalanche-Fuji, Sepolia).
- No tokens associated or transferred by this address.
- No alerts or flags detected indicating suspicious behavior or manipulation.
- The address appears dormant or newly created with no on-chain footprint.
- No evidence of involvement in scams, laundering, or other illicit activities based on available data.</w:t>
      </w:r>
    </w:p>
    <w:p>
      <w:r>
        <w:t xml:space="preserve">SAR Summary</w:t>
      </w:r>
    </w:p>
    <w:p>
      <w:r>
        <w:t xml:space="preserve">Entity: Ethereum address 0xdeae6a0f995c71f9c73adf596a0f4c1b497cb24d  
Key Behavior: No transactional activity or token transfers detected across major chains (Ethereum, Polygon, BSC, Arbitrum, Optimism, Base, Avalanche-Fuji, Sepolia).  
Risk Rationale: The address exhibits no on-chain footprint or interaction, indicating dormancy or recent creation. Absence of alerts or suspicious patterns reduces immediate risk concerns.  
Chain Footprint: Zero transactions and inactive status on all monitored chains; no associated tokens or transfers.  
Suggested Compliance Action: No further investigation required at this time. Monitor for future activity or alerts that may indicate risk. Maintain on watchlist for potential activation or suspicious behavior.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2026-01-18T13:32:08.614Z</dcterms:created>
  <dcterms:modified xsi:type="dcterms:W3CDTF">2026-01-18T13:32:08.614Z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