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Market Manipulation Investigation</w:t>
      </w:r>
    </w:p>
    <w:p>
      <w:r>
        <w:rPr>
          <w:b/>
          <w:bCs/>
        </w:rPr>
        <w:t xml:space="preserve">Address: 0xdeae6a0f995c71f9c73adf596a0f4c1b497cb24d</w:t>
      </w:r>
    </w:p>
    <w:p>
      <w:r>
        <w:t xml:space="preserve">Token: n/a</w:t>
      </w:r>
    </w:p>
    <w:p>
      <w:r>
        <w:t xml:space="preserve">Risk Score: 20</w:t>
      </w:r>
    </w:p>
    <w:p>
      <w:r>
        <w:t xml:space="preserve">Generated: 2026-01-18T13:42:01.409Z</w:t>
      </w:r>
    </w:p>
    <w:p>
      <w:r>
        <w:t xml:space="preserve">AI Narrative</w:t>
      </w:r>
    </w:p>
    <w:p>
      <w:r>
        <w:t xml:space="preserve">Address 0xdeae6a0f995c71f9c73adf596a0f4c1b497cb24d Analysis:
- No recorded transactions across major chains (Ethereum, Polygon, BSC, Arbitrum, Optimism, Base, Avalanche Fuji, Sepolia).
- No active status on any chain, indicating no on-chain activity or interaction.
- No associated tokens or token transfers.
- No alerts or flags raised by monitoring systems.
- Lack of activity suggests this address is either newly created, dormant, or used off-chain.
- No evidence of manipulation, fraud, or suspicious behavior based on available data.
Conclusion: The address shows no on-chain footprint or red flags; it is currently inactive and does not pose compliance concerns.</w:t>
      </w:r>
    </w:p>
    <w:p>
      <w:r>
        <w:t xml:space="preserve">SAR Summary</w:t>
      </w:r>
    </w:p>
    <w:p>
      <w:r>
        <w:t xml:space="preserve">Entity: Address 0xdeae6a0f995c71f9c73adf596a0f4c1b497cb24d  
Key Behavior: No on-chain activity or token holdings detected across monitored blockchains.  
Risk Rationale: Absence of transactions or interactions suggests the address is dormant, newly created, or used off-chain, presenting no immediate risk indicators.  
Chain Footprint: Zero transactions and inactive status on Ethereum, Polygon, BSC, Arbitrum, Optimism, Base, Avalanche Fuji, and Sepolia networks.  
Suggested Compliance Action: No further action required at this time; continue routine monitoring for any future activity or alerts.</w:t>
      </w:r>
    </w:p>
    <w:p>
      <w:r>
        <w:t xml:space="preserve">Chain Activity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Chain</w:t>
            </w:r>
          </w:p>
        </w:tc>
        <w:tc>
          <w:p>
            <w:r>
              <w:rPr>
                <w:b/>
                <w:bCs/>
              </w:rPr>
              <w:t xml:space="preserve">Activity</w:t>
            </w:r>
          </w:p>
        </w:tc>
        <w:tc>
          <w:p>
            <w:r>
              <w:rPr>
                <w:b/>
                <w:bCs/>
              </w:rPr>
              <w:t xml:space="preserve">Tx Count</w:t>
            </w:r>
          </w:p>
        </w:tc>
        <w:tc>
          <w:p>
            <w:r>
              <w:rPr>
                <w:b/>
                <w:bCs/>
              </w:rPr>
              <w:t xml:space="preserve">Balance (wei)</w:t>
            </w:r>
          </w:p>
        </w:tc>
      </w:tr>
      <w:tr>
        <w:tc>
          <w:p>
            <w:r>
              <w:t xml:space="preserve">ethereum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polygon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bsc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arbitrum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optimism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base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avalanche-fuji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sepolia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</w:tbl>
    <w:p>
      <w:r>
        <w:t xml:space="preserve">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Type</w:t>
            </w:r>
          </w:p>
        </w:tc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2026-01-18T13:42:04.562Z</dcterms:created>
  <dcterms:modified xsi:type="dcterms:W3CDTF">2026-01-18T13:42:04.562Z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