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0xdeae6a0f995c71f9c73adf596a0f4c1b497cb24d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2026-01-18T13:52:30.943Z</w:t>
      </w:r>
    </w:p>
    <w:p>
      <w:r>
        <w:t xml:space="preserve">AI Narrative</w:t>
      </w:r>
    </w:p>
    <w:p>
      <w:r>
        <w:t xml:space="preserve">- Address 0xdeae6a0f995c71f9c73adf596a0f4c1b497cb24d shows zero transaction activity across all major chains checked (Ethereum, Polygon, BSC, Arbitrum, Optimism, Base, Avalanche Fuji, Sepolia).
- No token holdings or transfers detected.
- No alerts or suspicious flags raised by monitoring systems.
- Lack of on-chain activity suggests this address is dormant or newly created without usage.
- No evidence of manipulation, fraud, or illicit behavior associated with this address at this time.</w:t>
      </w:r>
    </w:p>
    <w:p>
      <w:r>
        <w:t xml:space="preserve">SAR Summary</w:t>
      </w:r>
    </w:p>
    <w:p>
      <w:r>
        <w:t xml:space="preserve">Entity: Ethereum address 0xdeae6a0f995c71f9c73adf596a0f4c1b497cb24d  
Key Behavior: No on-chain activity or token holdings detected across multiple major blockchains (Ethereum, Polygon, BSC, Arbitrum, Optimism, Base, Avalanche Fuji, Sepolia).  
Risk Rationale: The address exhibits zero transaction history and no interaction with tokens, indicating dormancy or recent creation without usage. No suspicious patterns or alerts have been identified.  
Chain Footprint: Inactive on all monitored chains with zero transactions and no token transfers.  
Suggested Compliance Action: No immediate action required; continue routine monitoring for any future activity or changes in risk profile.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2026-01-18T13:52:34.993Z</dcterms:created>
  <dcterms:modified xsi:type="dcterms:W3CDTF">2026-01-18T13:52:34.993Z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