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0xe062f311d0f5bed70a2fc89ff18691b5e8564c97</w:t>
      </w:r>
    </w:p>
    <w:p>
      <w:r>
        <w:t xml:space="preserve">Token: n/a</w:t>
      </w:r>
    </w:p>
    <w:p>
      <w:r>
        <w:t xml:space="preserve">Risk Score: 20</w:t>
      </w:r>
    </w:p>
    <w:p>
      <w:r>
        <w:t xml:space="preserve">Generated: 2026-01-18T13:42:52.764Z</w:t>
      </w:r>
    </w:p>
    <w:p>
      <w:r>
        <w:t xml:space="preserve">AI Narrative</w:t>
      </w:r>
    </w:p>
    <w:p>
      <w:r>
        <w:t xml:space="preserve">Address 0xe062f311d0f5bed70a2fc89ff18691b5e8564c97 Analysis:
- Chain Activity:
  - Only active on Base chain with 2 transactions.
  - No activity on Ethereum, Polygon, BSC, Arbitrum, Optimism, Avalanche Fuji, or Sepolia.
- Token Interaction:
  - No token transfers or holdings detected.
- Alerts:
  - No alerts or flags raised by monitoring systems.
- Red Flags / Manipulation Indicators:
  - Low activity limited to a single chain suggests minimal engagement or possible dormant account.
  - Absence of token transfers reduces likelihood of direct manipulation or laundering.
  - No suspicious patterns or alerts detected.
Summary: The address shows minimal and isolated activity solely on the Base chain with no associated tokens or alerts. There are no immediate signs of manipulation or suspicious behavior based on available data.</w:t>
      </w:r>
    </w:p>
    <w:p>
      <w:r>
        <w:t xml:space="preserve">SAR Summary</w:t>
      </w:r>
    </w:p>
    <w:p>
      <w:r>
        <w:t xml:space="preserve">Entity: Ethereum address 0xe062f311d0f5bed70a2fc89ff18691b5e8564c97  
Key Behavior: Minimal on-chain activity limited to 2 transactions exclusively on the Base chain; no token transfers or holdings detected.  
Risk Rationale: Low engagement and absence of token movement reduce the likelihood of illicit activity such as money laundering or manipulation. No alerts or suspicious patterns identified.  
Chain Footprint: Active only on Base chain (2 tx); inactive on Ethereum, Polygon, BSC, Arbitrum, Optimism, Avalanche Fuji, and Sepolia chains.  
Suggested Compliance Action: No further investigation required at this time; continue routine monitoring for any future activity or alerts.</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2</w:t>
            </w:r>
          </w:p>
        </w:tc>
        <w:tc>
          <w:p>
            <w:r>
              <w:t xml:space="preserve">7031875667</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2026-01-18T13:42:55.245Z</dcterms:created>
  <dcterms:modified xsi:type="dcterms:W3CDTF">2026-01-18T13:42:55.245Z</dcterms:modified>
</cp:coreProperties>
</file>

<file path=docProps/custom.xml><?xml version="1.0" encoding="utf-8"?>
<Properties xmlns="http://schemas.openxmlformats.org/officeDocument/2006/custom-properties" xmlns:vt="http://schemas.openxmlformats.org/officeDocument/2006/docPropsVTypes"/>
</file>