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0xe2c98946b8939364dd124abdd6260857d5476eee</w:t>
      </w:r>
    </w:p>
    <w:p>
      <w:r>
        <w:t xml:space="preserve">Token: n/a</w:t>
      </w:r>
    </w:p>
    <w:p>
      <w:r>
        <w:t xml:space="preserve">Risk Score: 20</w:t>
      </w:r>
    </w:p>
    <w:p>
      <w:r>
        <w:t xml:space="preserve">Generated: 2026-01-18T13:49:20.365Z</w:t>
      </w:r>
    </w:p>
    <w:p>
      <w:r>
        <w:t xml:space="preserve">AI Narrative</w:t>
      </w:r>
    </w:p>
    <w:p>
      <w:r>
        <w:t xml:space="preserve">Address 0xe2c98946b8939364dd124abdd6260857d5476eee Analysis:
- Chain Activity:
  - Ethereum, Polygon, BSC, Arbitrum, Optimism, Avalanche-Fuji, Sepolia: No transactions, inactive.
  - Base chain: 2 transactions, currently active.
- Token Interaction: None detected.
- Alerts: No alerts or flags raised by monitoring systems.
Red Flags/Manipulation Indicators:
- Minimal activity limited to Base chain only; could indicate a newly created or dormant address.
- No token transfers or interactions suggest limited engagement or potential use as a passive holding or intermediary address.
- Absence of alerts reduces immediate suspicion but does not rule out low-profile or emerging risk.
Summary:
This address shows very limited blockchain footprint with only two transactions on the Base chain and no activity elsewhere. Lack of token transfers and alerts suggests low risk at present, but the minimal activity profile warrants monitoring for any sudden changes or involvement in suspicious patterns.</w:t>
      </w:r>
    </w:p>
    <w:p>
      <w:r>
        <w:t xml:space="preserve">SAR Summary</w:t>
      </w:r>
    </w:p>
    <w:p>
      <w:r>
        <w:t xml:space="preserve">Entity: Address 0xe2c98946b8939364dd124abdd6260857d5476eee  
Key Behavior: Minimal blockchain activity with only 2 transactions on the Base chain; no token transfers or interactions detected.  
Risk Rationale: Low immediate risk due to absence of alerts and limited activity; however, the sparse footprint and inactivity on major chains may indicate a newly created or dormant address potentially used as a passive holding or intermediary.  
Chain Footprint: Inactive on Ethereum, Polygon, BSC, Arbitrum, Optimism, Avalanche-Fuji, and Sepolia; active only on Base chain with 2 transactions.  
Suggested Compliance Action: Maintain routine monitoring for any escalation in activity or involvement in suspicious transactions; no immediate action required given current low-risk profile.</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2</w:t>
            </w:r>
          </w:p>
        </w:tc>
        <w:tc>
          <w:p>
            <w:r>
              <w:t xml:space="preserve">6993916020</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2026-01-18T13:49:23.247Z</dcterms:created>
  <dcterms:modified xsi:type="dcterms:W3CDTF">2026-01-18T13:49:23.247Z</dcterms:modified>
</cp:coreProperties>
</file>

<file path=docProps/custom.xml><?xml version="1.0" encoding="utf-8"?>
<Properties xmlns="http://schemas.openxmlformats.org/officeDocument/2006/custom-properties" xmlns:vt="http://schemas.openxmlformats.org/officeDocument/2006/docPropsVTypes"/>
</file>