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0x6131b5fae19ea4f9d964eac0408e4408b66337b5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2026-01-18T13:39:33.035Z</w:t>
      </w:r>
    </w:p>
    <w:p>
      <w:r>
        <w:t xml:space="preserve">AI Narrative</w:t>
      </w:r>
    </w:p>
    <w:p>
      <w:r>
        <w:t xml:space="preserve">Address 0x6131b5fae19ea4f9d964eac0408e4408b66337b5 Analysis:
- Multi-chain activity: Active on Ethereum (6 tx), Arbitrum (1 tx), Optimism (1 tx), Base (6 tx), and Sepolia testnet (0 tx but marked active).
- No transactions on Polygon, BSC, Avalanche-Fuji.
- No token transfers or holdings specified.
- No alerts or flagged suspicious activity detected.
- Activity distribution suggests possible cross-chain operations or testing on multiple Layer 2 and sidechains.
- Sepolia activity marked true despite zero tx, may indicate monitoring or pending activity.
- No signs of manipulation, wash trading, or known scam patterns based on current data.
- Low transaction volume overall; insufficient data to confirm illicit behavior.
Summary: The address shows low-level, legitimate multi-chain usage without red flags or alerts. Continued monitoring recommended for any emerging suspicious patterns.</w:t>
      </w:r>
    </w:p>
    <w:p>
      <w:r>
        <w:t xml:space="preserve">SAR Summary</w:t>
      </w:r>
    </w:p>
    <w:p>
      <w:r>
        <w:t xml:space="preserve">Entity: Address 0x6131b5fae19ea4f9d964eac0408e4408b66337b5  
Key Behavior: Low-volume multi-chain activity with 6 Ethereum, 1 Arbitrum, 1 Optimism, 6 Base transactions; no activity on Polygon, BSC, Avalanche-Fuji; Sepolia testnet marked active despite zero transactions.  
Risk Rationale: No alerts or suspicious patterns detected; absence of token transfers or holdings; activity consistent with cross-chain operations or testing; no evidence of manipulation or illicit conduct.  
Chain Footprint: Active on Ethereum, Arbitrum, Optimism, Base, and Sepolia testnet; inactive on Polygon, BSC, Avalanche-Fuji.  
Suggested Compliance Action: Status cleared with RiskScore 20; recommend continued routine monitoring to detect any future suspicious behavior or transaction anomalies.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134889041711191672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7540936880389787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11809528748639167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168856473505359079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1178428854667856242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2026-01-18T13:39:33.059Z</dcterms:created>
  <dcterms:modified xsi:type="dcterms:W3CDTF">2026-01-18T13:39:33.059Z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