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0x6a000f20005980200259b80c5102003040001068</w:t>
      </w:r>
    </w:p>
    <w:p>
      <w:r>
        <w:t xml:space="preserve">Token: n/a</w:t>
      </w:r>
    </w:p>
    <w:p>
      <w:r>
        <w:t xml:space="preserve">Risk Score: 20</w:t>
      </w:r>
    </w:p>
    <w:p>
      <w:r>
        <w:t xml:space="preserve">Generated: 2026-01-18T13:34:46.301Z</w:t>
      </w:r>
    </w:p>
    <w:p>
      <w:r>
        <w:t xml:space="preserve">AI Narrative</w:t>
      </w:r>
    </w:p>
    <w:p>
      <w:r>
        <w:t xml:space="preserve">Address 0x6a000f20005980200259b80c5102003040001068 Analysis:
- Multi-chain activity: active on Ethereum (2 tx), Polygon (1 tx), Arbitrum (1 tx), Optimism (1 tx), Base (1 tx), Sepolia (1 tx), and Avalanche-Fuji (0 tx but marked active).
- No transactions on BSC despite being monitored there.
- No alerts or flagged suspicious behavior detected.
- Activity distribution suggests diversified usage across multiple L2 and testnet chains.
- Lack of token association implies primarily native asset transfers or contract interactions without token involvement.
- No signs of manipulation, wash trading, or common red flags such as rapid repetitive transactions or known scam patterns.
- The presence on testnets (Sepolia, Avalanche-Fuji) indicates possible development or testing activity.
Conclusion: The address shows legitimate multi-chain engagement without evident manipulation or suspicious patterns. Continued monitoring recommended due to broad chain presence.</w:t>
      </w:r>
    </w:p>
    <w:p>
      <w:r>
        <w:t xml:space="preserve">SAR Summary</w:t>
      </w:r>
    </w:p>
    <w:p>
      <w:r>
        <w:t xml:space="preserve">Entity: Address 0x6a000f20005980200259b80c5102003040001068  
Key Behavior: Multi-chain activity with transactions on Ethereum (2), Polygon (1), Arbitrum (1), Optimism (1), Base (1), and Sepolia (1); no token transfers detected.  
Risk Rationale: Low risk (RiskScore 20); no alerts or suspicious patterns such as wash trading, rapid repetitive transactions, or known scam indicators. Activity includes testnets (Sepolia, Avalanche-Fuji), suggesting development or testing purposes.  
Chain Footprint: Active on multiple Layer 1 and Layer 2 networks and testnets, indicating diversified usage and possible contract interactions involving native assets only. No activity on BSC despite monitoring.  
Suggested Compliance Action: Status cleared; recommend continued routine monitoring due to broad multi-chain presence and ongoing activity across mainnets and testnets to promptly identify any future anomalous behavior.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554013208389979686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10300000000000000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2026-01-18T13:34:46.332Z</dcterms:created>
  <dcterms:modified xsi:type="dcterms:W3CDTF">2026-01-18T13:34:46.332Z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