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0x6a000f20005980200259b80c5102003040001068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2026-01-18T13:38:18.374Z</w:t>
      </w:r>
    </w:p>
    <w:p>
      <w:r>
        <w:t xml:space="preserve">AI Narrative</w:t>
      </w:r>
    </w:p>
    <w:p>
      <w:r>
        <w:t xml:space="preserve">Address 0x6a000f20005980200259b80c5102003040001068 Analysis:
- Multi-chain Activity: Active on 6 chains (Ethereum, Polygon, Arbitrum, Optimism, Base, Sepolia) with a total of 13 transactions; inactive or zero tx on BSC and Avalanche-Fuji.
- Base chain shows highest activity (8 tx), indicating primary usage or focus.
- Low transaction count overall (max 8 on one chain) suggests limited on-chain footprint.
- No associated tokens or token transfers detected.
- No alerts or flagged behavior reported.
- Activity spread across multiple testnets (Sepolia) and mainnets could indicate testing or diversified usage.
- No immediate signs of manipulation, fraud, or suspicious patterns based on available data.
- Lack of alerts and low tx volume reduce risk profile but continued monitoring recommended due to multi-chain presence.
Summary: The address demonstrates multi-chain engagement with low transaction volume and no red flags or alerts. Activity appears benign, possibly for testing or low-scale operations. No evidence of manipulation detected.</w:t>
      </w:r>
    </w:p>
    <w:p>
      <w:r>
        <w:t xml:space="preserve">SAR Summary</w:t>
      </w:r>
    </w:p>
    <w:p>
      <w:r>
        <w:t xml:space="preserve">Entity: Address 0x6a000f20005980200259b80c5102003040001068  
Key Behavior: Multi-chain activity with 13 total transactions across 6 chains (Ethereum, Polygon, Arbitrum, Optimism, Base, Sepolia); highest activity on Base chain (8 tx); no token transfers detected.  
Risk Rationale: Low transaction volume and absence of alerts or suspicious patterns indicate minimal risk; activity spans both mainnets and testnets, suggesting testing or diversified usage rather than illicit behavior.  
Chain Footprint: Active on Ethereum, Polygon, Arbitrum, Optimism, Base, and Sepolia; inactive or zero transactions on BSC and Avalanche-Fuji.  
Suggested Compliance Action: No immediate action required; maintain routine monitoring due to multi-chain presence to detect any future anomalous behavior.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554013208389979686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10300000000000000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2026-01-18T13:38:18.428Z</dcterms:created>
  <dcterms:modified xsi:type="dcterms:W3CDTF">2026-01-18T13:38:18.428Z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