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32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1A18"/>
          <w:sz w:val="52"/>
          <w:szCs w:val="52"/>
        </w:rPr>
        <w:t xml:space="preserve">Imbizo</w:t>
      </w:r>
      <w:r>
        <w:rPr>
          <w:rFonts w:ascii="Calibri" w:cs="Calibri" w:eastAsia="Calibri" w:hAnsi="Calibri"/>
          <w:b/>
          <w:bCs/>
          <w:color w:val="B8860B"/>
          <w:sz w:val="52"/>
          <w:szCs w:val="52"/>
        </w:rPr>
        <w:t xml:space="preserve">Hub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A1A18"/>
          <w:sz w:val="30"/>
          <w:szCs w:val="30"/>
        </w:rPr>
        <w:t xml:space="preserve">Technical &amp; Systems Overview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Product, architecture, infrastructure and data handling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24 August 2026</w:t>
      </w:r>
    </w:p>
    <w:p>
      <w:pPr>
        <w:jc w:val="center"/>
      </w:pPr>
      <w:r>
        <w:rPr>
          <w:rFonts w:ascii="Calibri" w:cs="Calibri" w:eastAsia="Calibri" w:hAnsi="Calibri"/>
          <w:color w:val="B8860B"/>
          <w:sz w:val="20"/>
          <w:szCs w:val="20"/>
        </w:rPr>
        <w:t xml:space="preserve">imbizohub.com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line="2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If the list above is blank, right-click it in Word and choose “Update Field”.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1. What ImbizoHub is</w:t>
      </w:r>
    </w:p>
    <w:p>
      <w:pPr>
        <w:spacing w:after="14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ImbizoHub is a Zimbabwean online marketplace. It brings four things people already do informally — through WhatsApp groups, noticeboards and word of mouth — into one place, with a record of who did what: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Buying and selling goods — phones, vehicles, furniture, appliances and more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Posting what you are looking for, so sellers come to you rather than you searching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Hiring transport — customers post a trip, operators compete with quotes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Book &amp; Deliver — parcel delivery between buyer and seller (built, currently paused; see 8.2)</w:t>
      </w:r>
    </w:p>
    <w:p>
      <w:pPr>
        <w:spacing w:after="60"/>
      </w:pPr>
    </w:p>
    <w:p>
      <w:pPr>
        <w:spacing w:after="14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It runs as an Android application and as a website, from a single codebase. The commercial model is a platform fee on specific actions — unlocking a seller’s contact details, accepting a transport quote, operator registration — rather than a commission on the goods themselves. Money for the goods or the trip passes directly between the two people; ImbizoHub is not in the middle of it.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color w:val="1A1A18"/>
          <w:sz w:val="21"/>
          <w:szCs w:val="21"/>
        </w:rPr>
        <w:t xml:space="preserve">Launch promotion. </w:t>
      </w:r>
      <w:r>
        <w:rPr>
          <w:rFonts w:ascii="Calibri" w:cs="Calibri" w:eastAsia="Calibri" w:hAnsi="Calibri"/>
          <w:b w:val="false"/>
          <w:bCs w:val="false"/>
          <w:color w:val="1A1A18"/>
          <w:sz w:val="21"/>
          <w:szCs w:val="21"/>
        </w:rPr>
        <w:t xml:space="preserve">All platform fees are waived until 31 January 2027. The payment infrastructure is live and working; the amounts are currently set to zero.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2. Architecture at a glance</w:t>
      </w:r>
    </w:p>
    <w:p>
      <w:pPr>
        <w:spacing w:after="14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Three parts: one application, one backend, and a small number of outside services. Everything except the payment relay runs on managed infrastructure, which is a deliberate choice — it keeps the number of servers to look after at one.</w:t>
      </w:r>
    </w:p>
    <w:tbl>
      <w:tblPr>
        <w:tblW w:type="dxa" w:w="9360"/>
        <w:tblBorders>
          <w:top w:val="single" w:color="D8D8D2" w:sz="4"/>
          <w:left w:val="none" w:color="FFFFFF" w:sz="0"/>
          <w:bottom w:val="single" w:color="D8D8D2" w:sz="4"/>
          <w:right w:val="none" w:color="FFFFFF" w:sz="0"/>
          <w:insideH w:val="single" w:color="D8D8D2" w:sz="4"/>
          <w:insideV w:val="none" w:color="FFFFFF" w:sz="0"/>
        </w:tblBorders>
      </w:tblPr>
      <w:tblGrid>
        <w:gridCol w:w="1872"/>
        <w:gridCol w:w="3182"/>
        <w:gridCol w:w="4306"/>
      </w:tblGrid>
      <w:tr>
        <w:tc>
          <w:tcPr>
            <w:tcW w:type="dxa" w:w="1872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Layer</w:t>
            </w:r>
          </w:p>
        </w:tc>
        <w:tc>
          <w:tcPr>
            <w:tcW w:type="dxa" w:w="3182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06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Expo SDK 56, React Native 0.85, React 19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One codebase producing both the Android app and the website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Routing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Expo Router 56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45 screens; file-based routing shared across app and web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Backend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Supabase (PostgreSQL 17.6)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Database, authentication, file storage, realtime, serverless functions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Web hosting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Vercel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Landing site, web app, two serverless functions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Payments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Paynow (incl. EcoCash)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Card and mobile money, via a relay (see 5)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Expo Push Service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Push to Android devices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Email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Namecheap Private Email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Outbound mail from the contact form</w:t>
            </w:r>
          </w:p>
        </w:tc>
      </w:tr>
    </w:tbl>
    <w:p>
      <w:pPr>
        <w:spacing w:after="200"/>
      </w:pPr>
    </w:p>
    <w:p>
      <w:pPr>
        <w:spacing w:after="14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The application talks to Supabase directly for almost everything. It never holds a privileged key — the public anonymous key is all that ships, and what it can reach is controlled inside the database itself.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3. Backend — Supabase</w:t>
      </w:r>
    </w:p>
    <w:tbl>
      <w:tblPr>
        <w:tblW w:type="dxa" w:w="9360"/>
        <w:tblBorders>
          <w:top w:val="single" w:color="D8D8D2" w:sz="4"/>
          <w:left w:val="none" w:color="FFFFFF" w:sz="0"/>
          <w:bottom w:val="single" w:color="D8D8D2" w:sz="4"/>
          <w:right w:val="none" w:color="FFFFFF" w:sz="0"/>
          <w:insideH w:val="single" w:color="D8D8D2" w:sz="4"/>
          <w:insideV w:val="none" w:color="FFFFFF" w:sz="0"/>
        </w:tblBorders>
      </w:tblPr>
      <w:tblGrid>
        <w:gridCol w:w="2808"/>
        <w:gridCol w:w="6552"/>
      </w:tblGrid>
      <w:tr>
        <w:tc>
          <w:tcPr>
            <w:tcW w:type="dxa" w:w="2808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Item</w:t>
            </w:r>
          </w:p>
        </w:tc>
        <w:tc>
          <w:tcPr>
            <w:tcW w:type="dxa" w:w="6552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Project region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eu-west-1 (Ireland)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Database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PostgreSQL 17.6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Created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27 June 2026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11 deployed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Scheduled jobs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4, via pg_cron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Storage buckets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3 (see below)</w:t>
            </w:r>
          </w:p>
        </w:tc>
      </w:tr>
    </w:tbl>
    <w:p>
      <w:pPr>
        <w:spacing w:after="20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3.1 Storage</w:t>
      </w:r>
    </w:p>
    <w:tbl>
      <w:tblPr>
        <w:tblW w:type="dxa" w:w="9360"/>
        <w:tblBorders>
          <w:top w:val="single" w:color="D8D8D2" w:sz="4"/>
          <w:left w:val="none" w:color="FFFFFF" w:sz="0"/>
          <w:bottom w:val="single" w:color="D8D8D2" w:sz="4"/>
          <w:right w:val="none" w:color="FFFFFF" w:sz="0"/>
          <w:insideH w:val="single" w:color="D8D8D2" w:sz="4"/>
          <w:insideV w:val="none" w:color="FFFFFF" w:sz="0"/>
        </w:tblBorders>
      </w:tblPr>
      <w:tblGrid>
        <w:gridCol w:w="2995"/>
        <w:gridCol w:w="1872"/>
        <w:gridCol w:w="4493"/>
      </w:tblGrid>
      <w:tr>
        <w:tc>
          <w:tcPr>
            <w:tcW w:type="dxa" w:w="2995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Bucket</w:t>
            </w:r>
          </w:p>
        </w:tc>
        <w:tc>
          <w:tcPr>
            <w:tcW w:type="dxa" w:w="1872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Visibility</w:t>
            </w:r>
          </w:p>
        </w:tc>
        <w:tc>
          <w:tcPr>
            <w:tcW w:type="dxa" w:w="4493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Holds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avatars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Public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Profile photographs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listing-photos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Public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Photographs of items for sale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verification-documents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Private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National ID documents and affidavits</w:t>
            </w:r>
          </w:p>
        </w:tc>
      </w:tr>
    </w:tbl>
    <w:p>
      <w:pPr>
        <w:spacing w:after="60"/>
      </w:pPr>
    </w:p>
    <w:p>
      <w:pPr>
        <w:spacing w:after="140" w:line="280"/>
      </w:pPr>
      <w:r>
        <w:rPr>
          <w:rFonts w:ascii="Calibri" w:cs="Calibri" w:eastAsia="Calibri" w:hAnsi="Calibri"/>
          <w:b/>
          <w:bCs/>
          <w:color w:val="1A1A18"/>
          <w:sz w:val="21"/>
          <w:szCs w:val="21"/>
        </w:rPr>
        <w:t xml:space="preserve">The third bucket is deliberately private. </w:t>
      </w:r>
      <w:r>
        <w:rPr>
          <w:rFonts w:ascii="Calibri" w:cs="Calibri" w:eastAsia="Calibri" w:hAnsi="Calibri"/>
          <w:b w:val="false"/>
          <w:bCs w:val="false"/>
          <w:color w:val="1A1A18"/>
          <w:sz w:val="21"/>
          <w:szCs w:val="21"/>
        </w:rPr>
        <w:t xml:space="preserve">Identity documents are the most sensitive data the platform holds and are not reachable by URL, unlike the other two.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3.2 Scheduled jobs</w:t>
      </w:r>
    </w:p>
    <w:p>
      <w:pPr>
        <w:spacing w:after="14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Four jobs run on a schedule inside the database. Three of them enforce the published data retention policy; nothing depends on anyone remembering to run them.</w:t>
      </w:r>
    </w:p>
    <w:tbl>
      <w:tblPr>
        <w:tblW w:type="dxa" w:w="9360"/>
        <w:tblBorders>
          <w:top w:val="single" w:color="D8D8D2" w:sz="4"/>
          <w:left w:val="none" w:color="FFFFFF" w:sz="0"/>
          <w:bottom w:val="single" w:color="D8D8D2" w:sz="4"/>
          <w:right w:val="none" w:color="FFFFFF" w:sz="0"/>
          <w:insideH w:val="single" w:color="D8D8D2" w:sz="4"/>
          <w:insideV w:val="none" w:color="FFFFFF" w:sz="0"/>
        </w:tblBorders>
      </w:tblPr>
      <w:tblGrid>
        <w:gridCol w:w="2808"/>
        <w:gridCol w:w="1685"/>
        <w:gridCol w:w="4867"/>
      </w:tblGrid>
      <w:tr>
        <w:tc>
          <w:tcPr>
            <w:tcW w:type="dxa" w:w="2808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Job</w:t>
            </w:r>
          </w:p>
        </w:tc>
        <w:tc>
          <w:tcPr>
            <w:tcW w:type="dxa" w:w="1685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Schedule</w:t>
            </w:r>
          </w:p>
        </w:tc>
        <w:tc>
          <w:tcPr>
            <w:tcW w:type="dxa" w:w="4867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delete-expired-accounts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Daily 03:00</w:t>
            </w:r>
          </w:p>
        </w:tc>
        <w:tc>
          <w:tcPr>
            <w:tcW w:type="dxa" w:w="486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Purges accounts 30 days after a deletion request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cleanup-expired-data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Daily 04:00</w:t>
            </w:r>
          </w:p>
        </w:tc>
        <w:tc>
          <w:tcPr>
            <w:tcW w:type="dxa" w:w="486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ID documents, stale push tokens, old photos, expired payment records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notify-registration-expiring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Daily 08:00</w:t>
            </w:r>
          </w:p>
        </w:tc>
        <w:tc>
          <w:tcPr>
            <w:tcW w:type="dxa" w:w="486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Warns operators before their registration lapses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cleanup_inactive_messages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Sun 02:00</w:t>
            </w:r>
          </w:p>
        </w:tc>
        <w:tc>
          <w:tcPr>
            <w:tcW w:type="dxa" w:w="486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Removes conversations inactive for two years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4. Web — Vercel and the domains</w:t>
      </w:r>
    </w:p>
    <w:p>
      <w:pPr>
        <w:spacing w:after="14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The website and the web version of the app are served by Vercel from the same repository as the mobile app. A build step exports the Expo web bundle and assembles it alongside the marketing pages.</w:t>
      </w:r>
    </w:p>
    <w:tbl>
      <w:tblPr>
        <w:tblW w:type="dxa" w:w="9360"/>
        <w:tblBorders>
          <w:top w:val="single" w:color="D8D8D2" w:sz="4"/>
          <w:left w:val="none" w:color="FFFFFF" w:sz="0"/>
          <w:bottom w:val="single" w:color="D8D8D2" w:sz="4"/>
          <w:right w:val="none" w:color="FFFFFF" w:sz="0"/>
          <w:insideH w:val="single" w:color="D8D8D2" w:sz="4"/>
          <w:insideV w:val="none" w:color="FFFFFF" w:sz="0"/>
        </w:tblBorders>
      </w:tblPr>
      <w:tblGrid>
        <w:gridCol w:w="3370"/>
        <w:gridCol w:w="5990"/>
      </w:tblGrid>
      <w:tr>
        <w:tc>
          <w:tcPr>
            <w:tcW w:type="dxa" w:w="337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Address</w:t>
            </w:r>
          </w:p>
        </w:tc>
        <w:tc>
          <w:tcPr>
            <w:tcW w:type="dxa" w:w="599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Serves</w:t>
            </w:r>
          </w:p>
        </w:tc>
      </w:tr>
      <w:tr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imbizohub.com</w:t>
            </w:r>
          </w:p>
        </w:tc>
        <w:tc>
          <w:tcPr>
            <w:tcW w:type="dxa" w:w="599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Landing site — serves directly, no redirect</w:t>
            </w:r>
          </w:p>
        </w:tc>
      </w:tr>
      <w:tr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www.imbizohub.com</w:t>
            </w:r>
          </w:p>
        </w:tc>
        <w:tc>
          <w:tcPr>
            <w:tcW w:type="dxa" w:w="599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Redirects (308) to the apex</w:t>
            </w:r>
          </w:p>
        </w:tc>
      </w:tr>
      <w:tr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imbizohub.com/app</w:t>
            </w:r>
          </w:p>
        </w:tc>
        <w:tc>
          <w:tcPr>
            <w:tcW w:type="dxa" w:w="599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The full application in the browser</w:t>
            </w:r>
          </w:p>
        </w:tc>
      </w:tr>
      <w:tr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imbizohub.com/contact</w:t>
            </w:r>
          </w:p>
        </w:tc>
        <w:tc>
          <w:tcPr>
            <w:tcW w:type="dxa" w:w="599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Contact form</w:t>
            </w:r>
          </w:p>
        </w:tc>
      </w:tr>
      <w:tr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imbizohub.com/data-retention</w:t>
            </w:r>
          </w:p>
        </w:tc>
        <w:tc>
          <w:tcPr>
            <w:tcW w:type="dxa" w:w="599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Published retention policy</w:t>
            </w:r>
          </w:p>
        </w:tc>
      </w:tr>
      <w:tr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imbizohub.com/seller</w:t>
            </w:r>
          </w:p>
        </w:tc>
        <w:tc>
          <w:tcPr>
            <w:tcW w:type="dxa" w:w="599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Shareable seller profile, server-rendered</w:t>
            </w:r>
          </w:p>
        </w:tc>
      </w:tr>
      <w:tr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imbizohub.app</w:t>
            </w:r>
          </w:p>
        </w:tc>
        <w:tc>
          <w:tcPr>
            <w:tcW w:type="dxa" w:w="599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Secondary domain; hosts password-reset and legal pages</w:t>
            </w:r>
          </w:p>
        </w:tc>
      </w:tr>
    </w:tbl>
    <w:p>
      <w:pPr>
        <w:spacing w:after="60"/>
      </w:pPr>
    </w:p>
    <w:p>
      <w:pPr>
        <w:spacing w:after="140" w:line="280"/>
      </w:pPr>
      <w:r>
        <w:rPr>
          <w:rFonts w:ascii="Calibri" w:cs="Calibri" w:eastAsia="Calibri" w:hAnsi="Calibri"/>
          <w:b/>
          <w:bCs/>
          <w:color w:val="1A1A18"/>
          <w:sz w:val="21"/>
          <w:szCs w:val="21"/>
        </w:rPr>
        <w:t xml:space="preserve">Why the apex serves directly. </w:t>
      </w:r>
      <w:r>
        <w:rPr>
          <w:rFonts w:ascii="Calibri" w:cs="Calibri" w:eastAsia="Calibri" w:hAnsi="Calibri"/>
          <w:b w:val="false"/>
          <w:bCs w:val="false"/>
          <w:color w:val="1A1A18"/>
          <w:sz w:val="21"/>
          <w:szCs w:val="21"/>
        </w:rPr>
        <w:t xml:space="preserve">Android App Links verification requires the domain-verification file to be reachable without a redirect — Google’s checker refuses to follow one. Putting www in front of the apex would break deep linking into the app.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4.1 Serverless functions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api/contact.js — receives contact form submissions, stores them, then emails them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api/seller.js — re-serves the seller preview page with the correct content type, so link previews work on WhatsApp and Facebook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4.2 Domains and email</w:t>
      </w:r>
    </w:p>
    <w:tbl>
      <w:tblPr>
        <w:tblW w:type="dxa" w:w="9360"/>
        <w:tblBorders>
          <w:top w:val="single" w:color="D8D8D2" w:sz="4"/>
          <w:left w:val="none" w:color="FFFFFF" w:sz="0"/>
          <w:bottom w:val="single" w:color="D8D8D2" w:sz="4"/>
          <w:right w:val="none" w:color="FFFFFF" w:sz="0"/>
          <w:insideH w:val="single" w:color="D8D8D2" w:sz="4"/>
          <w:insideV w:val="none" w:color="FFFFFF" w:sz="0"/>
        </w:tblBorders>
      </w:tblPr>
      <w:tblGrid>
        <w:gridCol w:w="4118"/>
        <w:gridCol w:w="5242"/>
      </w:tblGrid>
      <w:tr>
        <w:tc>
          <w:tcPr>
            <w:tcW w:type="dxa" w:w="4118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Item</w:t>
            </w:r>
          </w:p>
        </w:tc>
        <w:tc>
          <w:tcPr>
            <w:tcW w:type="dxa" w:w="5242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Provider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imbizohub.app — registrar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Namecheap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imbizohub.com — registrar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Namecheap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DNS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Namecheap, pointing at Vercel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Mailbox (support@imbizohub.com)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Namecheap Private Email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Legal pages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GitHub Pages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5. Payments — Paynow and the relay</w:t>
      </w:r>
    </w:p>
    <w:p>
      <w:pPr>
        <w:spacing w:after="14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Payments are handled by Paynow, which covers both card payments and EcoCash. ImbizoHub never sees a PIN, a card number or any payment credential; the user completes payment on Paynow’s own checkout page.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5.1 Why there is a VPS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color w:val="1A1A18"/>
          <w:sz w:val="21"/>
          <w:szCs w:val="21"/>
        </w:rPr>
        <w:t xml:space="preserve">This is the one piece of infrastructure that is not managed, and it exists for a specific reason. </w:t>
      </w:r>
      <w:r>
        <w:rPr>
          <w:rFonts w:ascii="Calibri" w:cs="Calibri" w:eastAsia="Calibri" w:hAnsi="Calibri"/>
          <w:b w:val="false"/>
          <w:bCs w:val="false"/>
          <w:color w:val="1A1A18"/>
          <w:sz w:val="21"/>
          <w:szCs w:val="21"/>
        </w:rPr>
        <w:t xml:space="preserve">Paynow’s servers reset the connection when called from Supabase’s cloud IP ranges — confirmed by live testing and by Paynow’s own support. Requests therefore go out through a small relay running on a DigitalOcean droplet, which forwards them to Paynow and returns the response.</w:t>
      </w:r>
    </w:p>
    <w:p>
      <w:pPr>
        <w:spacing w:after="14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The relay holds no data. It signs nothing and stores nothing — it forwards a request and returns a reply. Paynow credentials stay in Supabase secrets and never reach the client.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5.2 Payment flow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The app calls the create-payment function — it never writes a “paid” record itself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A pending record is created with our own reference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The request is signed and sent to Paynow through the relay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The user is sent to Paynow’s checkout page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Paynow calls back to the paynow-webhook function when payment completes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Only then is anything marked paid, and only server-side</w:t>
      </w:r>
    </w:p>
    <w:p>
      <w:pPr>
        <w:spacing w:after="60"/>
      </w:pPr>
    </w:p>
    <w:p>
      <w:pPr>
        <w:spacing w:after="140" w:line="280"/>
      </w:pPr>
      <w:r>
        <w:rPr>
          <w:rFonts w:ascii="Calibri" w:cs="Calibri" w:eastAsia="Calibri" w:hAnsi="Calibri"/>
          <w:b/>
          <w:bCs/>
          <w:color w:val="1A1A18"/>
          <w:sz w:val="21"/>
          <w:szCs w:val="21"/>
        </w:rPr>
        <w:t xml:space="preserve">The separation matters: </w:t>
      </w:r>
      <w:r>
        <w:rPr>
          <w:rFonts w:ascii="Calibri" w:cs="Calibri" w:eastAsia="Calibri" w:hAnsi="Calibri"/>
          <w:b w:val="false"/>
          <w:bCs w:val="false"/>
          <w:color w:val="1A1A18"/>
          <w:sz w:val="21"/>
          <w:szCs w:val="21"/>
        </w:rPr>
        <w:t xml:space="preserve">nothing the application says can mark a payment as received. Confirmation only ever arrives from Paynow, to a server the application cannot impersonate.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6. Mobile builds and releases</w:t>
      </w:r>
    </w:p>
    <w:tbl>
      <w:tblPr>
        <w:tblW w:type="dxa" w:w="9360"/>
        <w:tblBorders>
          <w:top w:val="single" w:color="D8D8D2" w:sz="4"/>
          <w:left w:val="none" w:color="FFFFFF" w:sz="0"/>
          <w:bottom w:val="single" w:color="D8D8D2" w:sz="4"/>
          <w:right w:val="none" w:color="FFFFFF" w:sz="0"/>
          <w:insideH w:val="single" w:color="D8D8D2" w:sz="4"/>
          <w:insideV w:val="none" w:color="FFFFFF" w:sz="0"/>
        </w:tblBorders>
      </w:tblPr>
      <w:tblGrid>
        <w:gridCol w:w="2621"/>
        <w:gridCol w:w="2246"/>
        <w:gridCol w:w="4493"/>
      </w:tblGrid>
      <w:tr>
        <w:tc>
          <w:tcPr>
            <w:tcW w:type="dxa" w:w="2621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Channel</w:t>
            </w:r>
          </w:p>
        </w:tc>
        <w:tc>
          <w:tcPr>
            <w:tcW w:type="dxa" w:w="2246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Tool</w:t>
            </w:r>
          </w:p>
        </w:tc>
        <w:tc>
          <w:tcPr>
            <w:tcW w:type="dxa" w:w="4493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Reaches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Android binary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EAS Build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Google Play — needed for native changes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Over-the-air update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EAS Update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Installed apps — JavaScript changes only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Website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Vercel, on git push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imbizohub.com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Database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Supabase migrations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Applied directly</w:t>
            </w:r>
          </w:p>
        </w:tc>
      </w:tr>
    </w:tbl>
    <w:p>
      <w:pPr>
        <w:spacing w:after="60"/>
      </w:pPr>
    </w:p>
    <w:p>
      <w:pPr>
        <w:spacing w:after="14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Two consequences worth being clear about. A JavaScript fix reaches phones without a Play review, usually within minutes. Anything native — icons, permissions, deep-link configuration — requires a new build and a new Play submission.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7. Security and data handling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7.1 Access control</w:t>
      </w:r>
    </w:p>
    <w:p>
      <w:pPr>
        <w:spacing w:after="14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Two independent gates sit in front of every table. Row Level Security decides which rows a user may touch; PostgreSQL grants decide which columns. Both must permit an action for it to happen.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Users can only read messages they sent or received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Profile fields that must not be self-assigned — administrator status, verified status, whether a registration is paid — are not writable by users at all, regardless of what the application sends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Contact form submissions cannot be read with the public key under any circumstances; they are written through a function that returns nothing readable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Identity documents live in a private bucket, not a public URL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7.2 Data handling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IP addresses are stored only as a salted one-way hash, never in the clear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Payment credentials never reach ImbizoHub systems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Retention periods are enforced automatically (see 3.2) and published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A security incident log records what happened, whether POTRAZ was notified, and whether affected users were told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7.3 What is not collected</w:t>
      </w:r>
    </w:p>
    <w:p>
      <w:pPr>
        <w:spacing w:after="14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Stated plainly because many comparable apps do collect these: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No device or GPS location — the app never requests location permission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No analytics, crash reporting or advertising identifiers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No third-party tracking, and no advertising of any kind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8. Current status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8.1 Live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Website, web application and contact form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Buying and selling, wanted posts, transport hire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Payments, with fees waived under the launch promotion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Android application submitted to Google Play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8.2 Built but paused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color w:val="1A1A18"/>
          <w:sz w:val="21"/>
          <w:szCs w:val="21"/>
        </w:rPr>
        <w:t xml:space="preserve">Book &amp; Deliver </w:t>
      </w:r>
      <w:r>
        <w:rPr>
          <w:rFonts w:ascii="Calibri" w:cs="Calibri" w:eastAsia="Calibri" w:hAnsi="Calibri"/>
          <w:b w:val="false"/>
          <w:bCs w:val="false"/>
          <w:color w:val="1A1A18"/>
          <w:sz w:val="21"/>
          <w:szCs w:val="21"/>
        </w:rPr>
        <w:t xml:space="preserve">is complete and switched off behind a feature flag. The reason is deliberate: there is no escrow, so a buyer and seller in different cities have no recourse if either side fails to deliver. New delivery-operator registration is closed with it. Re-enabling is a one-line change once a payment-protection flow exists.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8.3 Known gaps</w:t>
      </w:r>
    </w:p>
    <w:tbl>
      <w:tblPr>
        <w:tblW w:type="dxa" w:w="9360"/>
        <w:tblBorders>
          <w:top w:val="single" w:color="D8D8D2" w:sz="4"/>
          <w:left w:val="none" w:color="FFFFFF" w:sz="0"/>
          <w:bottom w:val="single" w:color="D8D8D2" w:sz="4"/>
          <w:right w:val="none" w:color="FFFFFF" w:sz="0"/>
          <w:insideH w:val="single" w:color="D8D8D2" w:sz="4"/>
          <w:insideV w:val="none" w:color="FFFFFF" w:sz="0"/>
        </w:tblBorders>
      </w:tblPr>
      <w:tblGrid>
        <w:gridCol w:w="2808"/>
        <w:gridCol w:w="6552"/>
      </w:tblGrid>
      <w:tr>
        <w:tc>
          <w:tcPr>
            <w:tcW w:type="dxa" w:w="2808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Item</w:t>
            </w:r>
          </w:p>
        </w:tc>
        <w:tc>
          <w:tcPr>
            <w:tcW w:type="dxa" w:w="6552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iOS application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Not built — requires an Apple Developer account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Escrow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Not built; the reason Book &amp; Deliver is paused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Paynow relay transport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Runs over plain HTTP on an IP address and port. Protected by a shared secret, but the traffic itself is unencrypted. Worth putting behind TLS.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Operational monitoring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No crash reporting or alerting. Good for privacy, but faults are found by report rather than by alarm.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The database is hosted in Ireland. Relevant to any cross-border transfer assessment under the Cyber and Data Protection Act.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9. Suppliers</w:t>
      </w:r>
    </w:p>
    <w:p>
      <w:pPr>
        <w:spacing w:after="140" w:line="28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Everyone who holds or processes ImbizoHub data, in one place. This list is also the starting point for a processor register.</w:t>
      </w:r>
    </w:p>
    <w:tbl>
      <w:tblPr>
        <w:tblW w:type="dxa" w:w="9360"/>
        <w:tblBorders>
          <w:top w:val="single" w:color="D8D8D2" w:sz="4"/>
          <w:left w:val="none" w:color="FFFFFF" w:sz="0"/>
          <w:bottom w:val="single" w:color="D8D8D2" w:sz="4"/>
          <w:right w:val="none" w:color="FFFFFF" w:sz="0"/>
          <w:insideH w:val="single" w:color="D8D8D2" w:sz="4"/>
          <w:insideV w:val="none" w:color="FFFFFF" w:sz="0"/>
        </w:tblBorders>
      </w:tblPr>
      <w:tblGrid>
        <w:gridCol w:w="2246"/>
        <w:gridCol w:w="3744"/>
        <w:gridCol w:w="3370"/>
      </w:tblGrid>
      <w:tr>
        <w:tc>
          <w:tcPr>
            <w:tcW w:type="dxa" w:w="2246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Supplier</w:t>
            </w:r>
          </w:p>
        </w:tc>
        <w:tc>
          <w:tcPr>
            <w:tcW w:type="dxa" w:w="3744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Role</w:t>
            </w:r>
          </w:p>
        </w:tc>
        <w:tc>
          <w:tcPr>
            <w:tcW w:type="dxa" w:w="337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Holds personal data?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Supabase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Database, auth, storage, functions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Yes — all of it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Vercel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Web hosting, serverless functions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In transit only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Paynow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Yes — payment details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DigitalOcean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Paynow relay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In transit only; stores nothing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Expo (EAS)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Builds, updates, push delivery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Push tokens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Namecheap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Domains, DNS, mailbox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Contact form emails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Google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Play distribution, optional sign-in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Name and email if sign-in used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8"/>
                <w:sz w:val="20"/>
                <w:szCs w:val="20"/>
              </w:rPr>
              <w:t xml:space="preserve">GitHub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Source code, legal pages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bottom w:val="single" w:color="D8D8D2" w:sz="6"/>
        </w:pBdr>
        <w:spacing w:after="200" w:before="8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Prepared from the live system — database schema, deployed functions, scheduled jobs and application source — rather than from recollection.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ImbizoHub — Technical &amp; Systems Overview   · 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–"/>
      <w:lvlJc w:val="left"/>
      <w:pPr>
        <w:ind w:left="7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1A1A18"/>
    </w:rPr>
  </w:style>
  <w:style w:type="paragraph" w:styleId="Heading2">
    <w:name w:val="Heading 2"/>
    <w:basedOn w:val="Normal"/>
    <w:next w:val="Normal"/>
    <w:qFormat/>
    <w:rPr>
      <w:color w:val="1A1A1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1798601bca7d591f75f3d086ab8467e6794d1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ImbizoHub — Technical &amp; Systems Overview</dc:title>
  <dc:creator>ImbizoHub</dc:creator>
  <dc:description>Product, architecture, infrastructure and data handling.</dc:description>
  <cp:lastModifiedBy>Un-named</cp:lastModifiedBy>
  <cp:revision>1</cp:revision>
  <dcterms:created xsi:type="dcterms:W3CDTF">2026-08-24T10:45:28.463Z</dcterms:created>
  <dcterms:modified xsi:type="dcterms:W3CDTF">2026-08-24T10:45:28.478Z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