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do alto custo no gerenciamento do negócio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a proprietária e os clientes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baixa de lucratividade, perdas de vendas devido alto custo dos produtos, baixo fluxo de caixa para reinvestimento e aumento de preço aos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  <w:t xml:space="preserve"> de gestão virtual de estoque e vitrine, </w:t>
      </w:r>
      <w:r w:rsidDel="00000000" w:rsidR="00000000" w:rsidRPr="00000000">
        <w:rPr>
          <w:b w:val="1"/>
          <w:rtl w:val="0"/>
        </w:rPr>
        <w:t xml:space="preserve">SGVEV</w:t>
      </w:r>
      <w:r w:rsidDel="00000000" w:rsidR="00000000" w:rsidRPr="00000000">
        <w:rPr>
          <w:rtl w:val="0"/>
        </w:rPr>
        <w:t xml:space="preserve">, são: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Plataforma e-commerce independente de apps de delivery.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Gerenciamento financeiro.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Novas possibilidades de pagamento.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Unificação do gerenciamento das plataformas de venda.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Redução de insatisfação dos clientes com falta de produtos.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Soluções de controle de rotina operacionais.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Disponibilidade do estoque em tempo real e de forma remota.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Dispensa a necessidade de pessoa fisicamente para checar estoque antes das compras.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Atualização de estoque de forma virtual e instantânea.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Relatório das compras separadas por períodos.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Centralização dos relatórios em uma única plataforma.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Segurança no armazenamento dos dados.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Redução de compras desnecessárias.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