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6AC4B" w14:textId="7C9AE100" w:rsidR="00A66A8A" w:rsidRDefault="00ED558B" w:rsidP="00ED558B">
      <w:pPr>
        <w:ind w:left="217"/>
        <w:jc w:val="center"/>
      </w:pPr>
      <w:r w:rsidRPr="00ED558B">
        <w:rPr>
          <w:rFonts w:ascii="仿宋" w:eastAsia="仿宋" w:hAnsi="仿宋" w:cs="仿宋"/>
          <w:sz w:val="28"/>
          <w:szCs w:val="28"/>
        </w:rPr>
        <w:t>Experimental Results</w:t>
      </w:r>
    </w:p>
    <w:p w14:paraId="6B06744E" w14:textId="3FA8EF1F" w:rsidR="00ED558B" w:rsidRDefault="00ED558B">
      <w:pPr>
        <w:rPr>
          <w:rFonts w:ascii="仿宋" w:eastAsia="仿宋" w:hAnsi="仿宋" w:cs="仿宋"/>
          <w:szCs w:val="21"/>
        </w:rPr>
      </w:pPr>
      <w:r w:rsidRPr="00ED558B">
        <w:rPr>
          <w:rFonts w:ascii="仿宋" w:eastAsia="仿宋" w:hAnsi="仿宋" w:cs="仿宋"/>
          <w:b/>
          <w:bCs/>
          <w:szCs w:val="21"/>
        </w:rPr>
        <w:t>Parameters:</w:t>
      </w:r>
      <w:r w:rsidRPr="00ED558B">
        <w:rPr>
          <w:rFonts w:ascii="仿宋" w:eastAsia="仿宋" w:hAnsi="仿宋" w:cs="仿宋"/>
          <w:szCs w:val="21"/>
        </w:rPr>
        <w:br/>
        <w:t>P: Precision</w:t>
      </w:r>
      <w:r w:rsidRPr="00ED558B">
        <w:rPr>
          <w:rFonts w:ascii="仿宋" w:eastAsia="仿宋" w:hAnsi="仿宋" w:cs="仿宋"/>
          <w:szCs w:val="21"/>
        </w:rPr>
        <w:br/>
        <w:t>R: Recall</w:t>
      </w:r>
      <w:r w:rsidRPr="00ED558B">
        <w:rPr>
          <w:rFonts w:ascii="仿宋" w:eastAsia="仿宋" w:hAnsi="仿宋" w:cs="仿宋"/>
          <w:szCs w:val="21"/>
        </w:rPr>
        <w:br/>
      </w:r>
      <w:proofErr w:type="spellStart"/>
      <w:r w:rsidRPr="00ED558B">
        <w:rPr>
          <w:rFonts w:ascii="仿宋" w:eastAsia="仿宋" w:hAnsi="仿宋" w:cs="仿宋"/>
          <w:szCs w:val="21"/>
        </w:rPr>
        <w:t>Wsz</w:t>
      </w:r>
      <w:proofErr w:type="spellEnd"/>
      <w:r w:rsidRPr="00ED558B">
        <w:rPr>
          <w:rFonts w:ascii="仿宋" w:eastAsia="仿宋" w:hAnsi="仿宋" w:cs="仿宋"/>
          <w:szCs w:val="21"/>
        </w:rPr>
        <w:t>: Weight size (MB)</w:t>
      </w:r>
    </w:p>
    <w:p w14:paraId="73A3F2AD" w14:textId="77777777" w:rsidR="00ED558B" w:rsidRDefault="00ED558B">
      <w:pPr>
        <w:rPr>
          <w:rFonts w:ascii="仿宋" w:eastAsia="仿宋" w:hAnsi="仿宋" w:cs="仿宋"/>
          <w:szCs w:val="21"/>
        </w:rPr>
      </w:pPr>
    </w:p>
    <w:p w14:paraId="593DD6D3" w14:textId="77777777" w:rsidR="00A66A8A" w:rsidRDefault="00A66A8A">
      <w:pPr>
        <w:ind w:firstLine="627"/>
        <w:rPr>
          <w:rFonts w:ascii="仿宋" w:eastAsia="仿宋" w:hAnsi="仿宋" w:cs="仿宋" w:hint="eastAsia"/>
          <w:szCs w:val="21"/>
        </w:rPr>
      </w:pPr>
    </w:p>
    <w:p w14:paraId="34674ADF" w14:textId="4A73EA75" w:rsidR="00A66A8A" w:rsidRDefault="00ED558B">
      <w:pPr>
        <w:rPr>
          <w:rFonts w:ascii="仿宋" w:eastAsia="仿宋" w:hAnsi="仿宋" w:cs="仿宋" w:hint="eastAsia"/>
          <w:color w:val="000000"/>
          <w:kern w:val="0"/>
          <w:szCs w:val="21"/>
          <w:lang w:bidi="ar"/>
        </w:rPr>
      </w:pPr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Ablation Study:</w:t>
      </w:r>
    </w:p>
    <w:tbl>
      <w:tblPr>
        <w:tblW w:w="8638" w:type="dxa"/>
        <w:jc w:val="center"/>
        <w:tblLook w:val="04A0" w:firstRow="1" w:lastRow="0" w:firstColumn="1" w:lastColumn="0" w:noHBand="0" w:noVBand="1"/>
      </w:tblPr>
      <w:tblGrid>
        <w:gridCol w:w="2150"/>
        <w:gridCol w:w="850"/>
        <w:gridCol w:w="850"/>
        <w:gridCol w:w="723"/>
        <w:gridCol w:w="1071"/>
        <w:gridCol w:w="975"/>
        <w:gridCol w:w="700"/>
        <w:gridCol w:w="733"/>
        <w:gridCol w:w="586"/>
      </w:tblGrid>
      <w:tr w:rsidR="00A66A8A" w14:paraId="2D353D44" w14:textId="77777777">
        <w:trPr>
          <w:trHeight w:val="396"/>
          <w:jc w:val="center"/>
        </w:trPr>
        <w:tc>
          <w:tcPr>
            <w:tcW w:w="2149" w:type="dxa"/>
            <w:shd w:val="clear" w:color="auto" w:fill="DEE6EF"/>
            <w:vAlign w:val="center"/>
          </w:tcPr>
          <w:p w14:paraId="79B02E44" w14:textId="1ADEF55D" w:rsidR="00A66A8A" w:rsidRPr="00ED558B" w:rsidRDefault="00ED558B">
            <w:pPr>
              <w:jc w:val="center"/>
              <w:rPr>
                <w:rFonts w:eastAsia="宋体" w:hint="eastAsia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model</w:t>
            </w:r>
          </w:p>
        </w:tc>
        <w:tc>
          <w:tcPr>
            <w:tcW w:w="850" w:type="dxa"/>
            <w:shd w:val="clear" w:color="auto" w:fill="DEE6EF"/>
            <w:vAlign w:val="center"/>
          </w:tcPr>
          <w:p w14:paraId="76EBDE10" w14:textId="77777777" w:rsidR="00A66A8A" w:rsidRDefault="0000000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RegNety</w:t>
            </w:r>
            <w:proofErr w:type="spellEnd"/>
          </w:p>
        </w:tc>
        <w:tc>
          <w:tcPr>
            <w:tcW w:w="850" w:type="dxa"/>
            <w:shd w:val="clear" w:color="auto" w:fill="DEE6EF"/>
            <w:vAlign w:val="center"/>
          </w:tcPr>
          <w:p w14:paraId="51B2F34A" w14:textId="77777777" w:rsidR="00A66A8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MSAM</w:t>
            </w:r>
          </w:p>
        </w:tc>
        <w:tc>
          <w:tcPr>
            <w:tcW w:w="723" w:type="dxa"/>
            <w:shd w:val="clear" w:color="auto" w:fill="DEE6EF"/>
            <w:vAlign w:val="center"/>
          </w:tcPr>
          <w:p w14:paraId="592C31E0" w14:textId="77777777" w:rsidR="00A66A8A" w:rsidRDefault="0000000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WIoU</w:t>
            </w:r>
            <w:proofErr w:type="spellEnd"/>
          </w:p>
        </w:tc>
        <w:tc>
          <w:tcPr>
            <w:tcW w:w="1071" w:type="dxa"/>
            <w:shd w:val="clear" w:color="auto" w:fill="DEE6EF"/>
            <w:vAlign w:val="center"/>
          </w:tcPr>
          <w:p w14:paraId="0F824FF8" w14:textId="77777777" w:rsidR="00A66A8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Map.5</w:t>
            </w:r>
          </w:p>
        </w:tc>
        <w:tc>
          <w:tcPr>
            <w:tcW w:w="975" w:type="dxa"/>
            <w:shd w:val="clear" w:color="auto" w:fill="DEE6EF"/>
            <w:vAlign w:val="center"/>
          </w:tcPr>
          <w:p w14:paraId="15429EA9" w14:textId="77777777" w:rsidR="00A66A8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Map.95</w:t>
            </w:r>
          </w:p>
        </w:tc>
        <w:tc>
          <w:tcPr>
            <w:tcW w:w="700" w:type="dxa"/>
            <w:shd w:val="clear" w:color="auto" w:fill="DEE6EF"/>
            <w:vAlign w:val="center"/>
          </w:tcPr>
          <w:p w14:paraId="37CD6A66" w14:textId="77777777" w:rsidR="00A66A8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733" w:type="dxa"/>
            <w:shd w:val="clear" w:color="auto" w:fill="DEE6EF"/>
            <w:vAlign w:val="center"/>
          </w:tcPr>
          <w:p w14:paraId="5E779CF3" w14:textId="77777777" w:rsidR="00A66A8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586" w:type="dxa"/>
            <w:shd w:val="clear" w:color="auto" w:fill="DEE6EF"/>
            <w:vAlign w:val="center"/>
          </w:tcPr>
          <w:p w14:paraId="2DCD0493" w14:textId="77777777" w:rsidR="00A66A8A" w:rsidRDefault="0000000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Wsz</w:t>
            </w:r>
            <w:proofErr w:type="spellEnd"/>
          </w:p>
        </w:tc>
      </w:tr>
      <w:tr w:rsidR="00A66A8A" w14:paraId="47B626A1" w14:textId="77777777">
        <w:trPr>
          <w:trHeight w:val="397"/>
          <w:jc w:val="center"/>
        </w:trPr>
        <w:tc>
          <w:tcPr>
            <w:tcW w:w="2149" w:type="dxa"/>
            <w:vAlign w:val="center"/>
          </w:tcPr>
          <w:p w14:paraId="6E7C2694" w14:textId="2F432E50" w:rsidR="00A66A8A" w:rsidRPr="00ED558B" w:rsidRDefault="00ED558B">
            <w:pPr>
              <w:jc w:val="center"/>
              <w:rPr>
                <w:rFonts w:eastAsia="宋体" w:hint="eastAsia"/>
                <w:b/>
                <w:bCs/>
                <w:sz w:val="18"/>
                <w:szCs w:val="18"/>
              </w:rPr>
            </w:pPr>
            <w:r>
              <w:rPr>
                <w:rFonts w:eastAsia="宋体" w:hint="eastAsia"/>
                <w:b/>
                <w:bCs/>
                <w:sz w:val="18"/>
                <w:szCs w:val="18"/>
              </w:rPr>
              <w:t>Baseline</w:t>
            </w:r>
          </w:p>
        </w:tc>
        <w:tc>
          <w:tcPr>
            <w:tcW w:w="850" w:type="dxa"/>
            <w:vAlign w:val="center"/>
          </w:tcPr>
          <w:p w14:paraId="2BE0E38B" w14:textId="77777777" w:rsidR="00A66A8A" w:rsidRDefault="00A66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6D861500" w14:textId="77777777" w:rsidR="00A66A8A" w:rsidRDefault="00A66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3" w:type="dxa"/>
            <w:vAlign w:val="center"/>
          </w:tcPr>
          <w:p w14:paraId="4BE0821B" w14:textId="77777777" w:rsidR="00A66A8A" w:rsidRDefault="00A66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14:paraId="7EEC2F3B" w14:textId="77777777" w:rsidR="00A66A8A" w:rsidRDefault="00000000">
            <w:pPr>
              <w:pStyle w:val="ac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89.92</w:t>
            </w:r>
          </w:p>
        </w:tc>
        <w:tc>
          <w:tcPr>
            <w:tcW w:w="975" w:type="dxa"/>
            <w:vAlign w:val="center"/>
          </w:tcPr>
          <w:p w14:paraId="45DCDA14" w14:textId="77777777" w:rsidR="00A66A8A" w:rsidRDefault="00000000">
            <w:pPr>
              <w:pStyle w:val="ac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62.81</w:t>
            </w:r>
          </w:p>
        </w:tc>
        <w:tc>
          <w:tcPr>
            <w:tcW w:w="700" w:type="dxa"/>
            <w:vAlign w:val="center"/>
          </w:tcPr>
          <w:p w14:paraId="44A6FD9E" w14:textId="77777777" w:rsidR="00A66A8A" w:rsidRDefault="00000000">
            <w:pPr>
              <w:pStyle w:val="ac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89.01</w:t>
            </w:r>
          </w:p>
        </w:tc>
        <w:tc>
          <w:tcPr>
            <w:tcW w:w="733" w:type="dxa"/>
            <w:vAlign w:val="center"/>
          </w:tcPr>
          <w:p w14:paraId="555C73C2" w14:textId="77777777" w:rsidR="00A66A8A" w:rsidRDefault="00000000">
            <w:pPr>
              <w:pStyle w:val="ac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85.37</w:t>
            </w:r>
          </w:p>
        </w:tc>
        <w:tc>
          <w:tcPr>
            <w:tcW w:w="586" w:type="dxa"/>
            <w:vAlign w:val="center"/>
          </w:tcPr>
          <w:p w14:paraId="56D1BFC1" w14:textId="77777777" w:rsidR="00A66A8A" w:rsidRDefault="00000000">
            <w:pPr>
              <w:pStyle w:val="ac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5.22</w:t>
            </w:r>
          </w:p>
        </w:tc>
      </w:tr>
      <w:tr w:rsidR="00A66A8A" w14:paraId="1B28559E" w14:textId="77777777">
        <w:trPr>
          <w:trHeight w:val="417"/>
          <w:jc w:val="center"/>
        </w:trPr>
        <w:tc>
          <w:tcPr>
            <w:tcW w:w="2149" w:type="dxa"/>
            <w:vAlign w:val="center"/>
          </w:tcPr>
          <w:p w14:paraId="31F4CE53" w14:textId="2A0D2753" w:rsidR="00A66A8A" w:rsidRDefault="0000000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RegNety</w:t>
            </w:r>
            <w:proofErr w:type="spellEnd"/>
            <w:r w:rsidR="00ED558B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179C05D8" w14:textId="77777777" w:rsidR="00A66A8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ascii="Segoe UI Symbol" w:hAnsi="Segoe UI Symbol"/>
                <w:sz w:val="18"/>
                <w:szCs w:val="18"/>
              </w:rPr>
              <w:t>✓</w:t>
            </w:r>
          </w:p>
        </w:tc>
        <w:tc>
          <w:tcPr>
            <w:tcW w:w="850" w:type="dxa"/>
            <w:vAlign w:val="center"/>
          </w:tcPr>
          <w:p w14:paraId="5798F214" w14:textId="77777777" w:rsidR="00A66A8A" w:rsidRDefault="00A66A8A">
            <w:pPr>
              <w:jc w:val="center"/>
              <w:rPr>
                <w:rFonts w:ascii="Segoe UI Symbol" w:hAnsi="Segoe UI Symbol"/>
                <w:sz w:val="18"/>
                <w:szCs w:val="18"/>
              </w:rPr>
            </w:pPr>
          </w:p>
        </w:tc>
        <w:tc>
          <w:tcPr>
            <w:tcW w:w="723" w:type="dxa"/>
            <w:vAlign w:val="center"/>
          </w:tcPr>
          <w:p w14:paraId="218BD577" w14:textId="77777777" w:rsidR="00A66A8A" w:rsidRDefault="00A66A8A">
            <w:pPr>
              <w:jc w:val="center"/>
              <w:rPr>
                <w:rFonts w:ascii="Segoe UI Symbol" w:hAnsi="Segoe UI Symbol"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14:paraId="0C88F4CD" w14:textId="77777777" w:rsidR="00A66A8A" w:rsidRDefault="00000000">
            <w:pPr>
              <w:pStyle w:val="ac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90.43</w:t>
            </w:r>
          </w:p>
        </w:tc>
        <w:tc>
          <w:tcPr>
            <w:tcW w:w="975" w:type="dxa"/>
            <w:vAlign w:val="center"/>
          </w:tcPr>
          <w:p w14:paraId="7D240348" w14:textId="77777777" w:rsidR="00A66A8A" w:rsidRDefault="00000000">
            <w:pPr>
              <w:pStyle w:val="ac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62.12</w:t>
            </w:r>
          </w:p>
        </w:tc>
        <w:tc>
          <w:tcPr>
            <w:tcW w:w="700" w:type="dxa"/>
            <w:vAlign w:val="center"/>
          </w:tcPr>
          <w:p w14:paraId="699EE4CE" w14:textId="77777777" w:rsidR="00A66A8A" w:rsidRDefault="00000000">
            <w:pPr>
              <w:pStyle w:val="ac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86.69</w:t>
            </w:r>
          </w:p>
        </w:tc>
        <w:tc>
          <w:tcPr>
            <w:tcW w:w="733" w:type="dxa"/>
            <w:vAlign w:val="center"/>
          </w:tcPr>
          <w:p w14:paraId="0FBC9239" w14:textId="77777777" w:rsidR="00A66A8A" w:rsidRDefault="00000000">
            <w:pPr>
              <w:pStyle w:val="ac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87.76</w:t>
            </w:r>
          </w:p>
        </w:tc>
        <w:tc>
          <w:tcPr>
            <w:tcW w:w="586" w:type="dxa"/>
            <w:vAlign w:val="center"/>
          </w:tcPr>
          <w:p w14:paraId="504250F3" w14:textId="77777777" w:rsidR="00A66A8A" w:rsidRDefault="00000000">
            <w:pPr>
              <w:pStyle w:val="ac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9.01</w:t>
            </w:r>
          </w:p>
        </w:tc>
      </w:tr>
      <w:tr w:rsidR="00A66A8A" w14:paraId="42592890" w14:textId="77777777">
        <w:trPr>
          <w:trHeight w:val="397"/>
          <w:jc w:val="center"/>
        </w:trPr>
        <w:tc>
          <w:tcPr>
            <w:tcW w:w="2149" w:type="dxa"/>
            <w:vAlign w:val="center"/>
          </w:tcPr>
          <w:p w14:paraId="756951FB" w14:textId="0423CACF" w:rsidR="00A66A8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MSAM</w:t>
            </w:r>
            <w:r w:rsidR="00ED558B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647B043D" w14:textId="77777777" w:rsidR="00A66A8A" w:rsidRDefault="00A66A8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5E5E9451" w14:textId="77777777" w:rsidR="00A66A8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ascii="Segoe UI Symbol" w:hAnsi="Segoe UI Symbol"/>
                <w:sz w:val="18"/>
                <w:szCs w:val="18"/>
              </w:rPr>
              <w:t>✓</w:t>
            </w:r>
          </w:p>
        </w:tc>
        <w:tc>
          <w:tcPr>
            <w:tcW w:w="723" w:type="dxa"/>
            <w:vAlign w:val="center"/>
          </w:tcPr>
          <w:p w14:paraId="6D6CC070" w14:textId="77777777" w:rsidR="00A66A8A" w:rsidRDefault="00A66A8A">
            <w:pPr>
              <w:jc w:val="center"/>
              <w:rPr>
                <w:rFonts w:ascii="Segoe UI Symbol" w:hAnsi="Segoe UI Symbol"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14:paraId="001F80CD" w14:textId="77777777" w:rsidR="00A66A8A" w:rsidRDefault="00000000">
            <w:pPr>
              <w:pStyle w:val="ac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91.47</w:t>
            </w:r>
          </w:p>
        </w:tc>
        <w:tc>
          <w:tcPr>
            <w:tcW w:w="975" w:type="dxa"/>
            <w:vAlign w:val="center"/>
          </w:tcPr>
          <w:p w14:paraId="539CF28B" w14:textId="77777777" w:rsidR="00A66A8A" w:rsidRDefault="00000000">
            <w:pPr>
              <w:pStyle w:val="ac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61.38</w:t>
            </w:r>
          </w:p>
        </w:tc>
        <w:tc>
          <w:tcPr>
            <w:tcW w:w="700" w:type="dxa"/>
            <w:vAlign w:val="center"/>
          </w:tcPr>
          <w:p w14:paraId="47118F92" w14:textId="77777777" w:rsidR="00A66A8A" w:rsidRDefault="00000000">
            <w:pPr>
              <w:pStyle w:val="ac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92.52</w:t>
            </w:r>
          </w:p>
        </w:tc>
        <w:tc>
          <w:tcPr>
            <w:tcW w:w="733" w:type="dxa"/>
            <w:vAlign w:val="center"/>
          </w:tcPr>
          <w:p w14:paraId="07BDAA6F" w14:textId="77777777" w:rsidR="00A66A8A" w:rsidRDefault="00000000">
            <w:pPr>
              <w:pStyle w:val="ac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85.33</w:t>
            </w:r>
          </w:p>
        </w:tc>
        <w:tc>
          <w:tcPr>
            <w:tcW w:w="586" w:type="dxa"/>
            <w:vAlign w:val="center"/>
          </w:tcPr>
          <w:p w14:paraId="1240285D" w14:textId="77777777" w:rsidR="00A66A8A" w:rsidRDefault="00000000">
            <w:pPr>
              <w:pStyle w:val="ac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5.4</w:t>
            </w:r>
          </w:p>
        </w:tc>
      </w:tr>
      <w:tr w:rsidR="00A66A8A" w14:paraId="1A7E6B6D" w14:textId="77777777">
        <w:trPr>
          <w:trHeight w:val="397"/>
          <w:jc w:val="center"/>
        </w:trPr>
        <w:tc>
          <w:tcPr>
            <w:tcW w:w="2149" w:type="dxa"/>
            <w:vAlign w:val="center"/>
          </w:tcPr>
          <w:p w14:paraId="7175FFAA" w14:textId="67EDE41D" w:rsidR="00A66A8A" w:rsidRDefault="0000000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WIoU</w:t>
            </w:r>
            <w:proofErr w:type="spellEnd"/>
            <w:r w:rsidR="00ED558B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56DE176A" w14:textId="77777777" w:rsidR="00A66A8A" w:rsidRDefault="00A66A8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13524B0" w14:textId="77777777" w:rsidR="00A66A8A" w:rsidRDefault="00A66A8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3" w:type="dxa"/>
            <w:vAlign w:val="center"/>
          </w:tcPr>
          <w:p w14:paraId="0ECD2BFD" w14:textId="77777777" w:rsidR="00A66A8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ascii="Segoe UI Symbol" w:hAnsi="Segoe UI Symbol"/>
                <w:sz w:val="18"/>
                <w:szCs w:val="18"/>
              </w:rPr>
              <w:t>✓</w:t>
            </w:r>
          </w:p>
        </w:tc>
        <w:tc>
          <w:tcPr>
            <w:tcW w:w="1071" w:type="dxa"/>
            <w:vAlign w:val="center"/>
          </w:tcPr>
          <w:p w14:paraId="701D374A" w14:textId="77777777" w:rsidR="00A66A8A" w:rsidRDefault="00000000">
            <w:pPr>
              <w:pStyle w:val="ac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91.12</w:t>
            </w:r>
          </w:p>
        </w:tc>
        <w:tc>
          <w:tcPr>
            <w:tcW w:w="975" w:type="dxa"/>
            <w:vAlign w:val="center"/>
          </w:tcPr>
          <w:p w14:paraId="2BDEFC6F" w14:textId="77777777" w:rsidR="00A66A8A" w:rsidRDefault="00000000">
            <w:pPr>
              <w:pStyle w:val="ac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60.91</w:t>
            </w:r>
          </w:p>
        </w:tc>
        <w:tc>
          <w:tcPr>
            <w:tcW w:w="700" w:type="dxa"/>
            <w:vAlign w:val="center"/>
          </w:tcPr>
          <w:p w14:paraId="2486ED31" w14:textId="77777777" w:rsidR="00A66A8A" w:rsidRDefault="00000000">
            <w:pPr>
              <w:pStyle w:val="ac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89.67</w:t>
            </w:r>
          </w:p>
        </w:tc>
        <w:tc>
          <w:tcPr>
            <w:tcW w:w="733" w:type="dxa"/>
            <w:vAlign w:val="center"/>
          </w:tcPr>
          <w:p w14:paraId="6746337C" w14:textId="77777777" w:rsidR="00A66A8A" w:rsidRDefault="00000000">
            <w:pPr>
              <w:pStyle w:val="ac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86.1</w:t>
            </w:r>
          </w:p>
        </w:tc>
        <w:tc>
          <w:tcPr>
            <w:tcW w:w="586" w:type="dxa"/>
            <w:vAlign w:val="center"/>
          </w:tcPr>
          <w:p w14:paraId="0B320F37" w14:textId="77777777" w:rsidR="00A66A8A" w:rsidRDefault="00000000">
            <w:pPr>
              <w:pStyle w:val="ac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5.22</w:t>
            </w:r>
          </w:p>
        </w:tc>
      </w:tr>
      <w:tr w:rsidR="00A66A8A" w14:paraId="50143D3E" w14:textId="77777777">
        <w:trPr>
          <w:jc w:val="center"/>
        </w:trPr>
        <w:tc>
          <w:tcPr>
            <w:tcW w:w="2149" w:type="dxa"/>
            <w:vAlign w:val="center"/>
          </w:tcPr>
          <w:p w14:paraId="7EEC0225" w14:textId="77777777" w:rsidR="00A66A8A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RegNety+MSAM+WIoU</w:t>
            </w:r>
            <w:proofErr w:type="spellEnd"/>
          </w:p>
        </w:tc>
        <w:tc>
          <w:tcPr>
            <w:tcW w:w="850" w:type="dxa"/>
            <w:vAlign w:val="center"/>
          </w:tcPr>
          <w:p w14:paraId="3F1B4592" w14:textId="77777777" w:rsidR="00A66A8A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egoe UI Symbol" w:hAnsi="Segoe UI Symbol"/>
                <w:b/>
                <w:bCs/>
                <w:sz w:val="18"/>
                <w:szCs w:val="18"/>
              </w:rPr>
              <w:t>✓</w:t>
            </w:r>
          </w:p>
        </w:tc>
        <w:tc>
          <w:tcPr>
            <w:tcW w:w="850" w:type="dxa"/>
            <w:vAlign w:val="center"/>
          </w:tcPr>
          <w:p w14:paraId="1448BCE5" w14:textId="77777777" w:rsidR="00A66A8A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egoe UI Symbol" w:hAnsi="Segoe UI Symbol"/>
                <w:b/>
                <w:bCs/>
                <w:sz w:val="18"/>
                <w:szCs w:val="18"/>
              </w:rPr>
              <w:t>✓</w:t>
            </w:r>
          </w:p>
        </w:tc>
        <w:tc>
          <w:tcPr>
            <w:tcW w:w="723" w:type="dxa"/>
            <w:vAlign w:val="center"/>
          </w:tcPr>
          <w:p w14:paraId="45836246" w14:textId="77777777" w:rsidR="00A66A8A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egoe UI Symbol" w:hAnsi="Segoe UI Symbol"/>
                <w:b/>
                <w:bCs/>
                <w:sz w:val="18"/>
                <w:szCs w:val="18"/>
              </w:rPr>
              <w:t>✓</w:t>
            </w:r>
          </w:p>
        </w:tc>
        <w:tc>
          <w:tcPr>
            <w:tcW w:w="1071" w:type="dxa"/>
            <w:vAlign w:val="center"/>
          </w:tcPr>
          <w:p w14:paraId="5C5E0366" w14:textId="77777777" w:rsidR="00A66A8A" w:rsidRDefault="00000000">
            <w:pPr>
              <w:pStyle w:val="ac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975" w:type="dxa"/>
            <w:vAlign w:val="center"/>
          </w:tcPr>
          <w:p w14:paraId="1DB55672" w14:textId="77777777" w:rsidR="00A66A8A" w:rsidRDefault="00000000">
            <w:pPr>
              <w:pStyle w:val="ac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66.66</w:t>
            </w:r>
          </w:p>
        </w:tc>
        <w:tc>
          <w:tcPr>
            <w:tcW w:w="700" w:type="dxa"/>
            <w:vAlign w:val="center"/>
          </w:tcPr>
          <w:p w14:paraId="50C20697" w14:textId="77777777" w:rsidR="00A66A8A" w:rsidRDefault="00000000">
            <w:pPr>
              <w:pStyle w:val="ac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91.66</w:t>
            </w:r>
          </w:p>
        </w:tc>
        <w:tc>
          <w:tcPr>
            <w:tcW w:w="733" w:type="dxa"/>
            <w:vAlign w:val="center"/>
          </w:tcPr>
          <w:p w14:paraId="3E83AB05" w14:textId="77777777" w:rsidR="00A66A8A" w:rsidRDefault="00000000">
            <w:pPr>
              <w:pStyle w:val="ac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88.75</w:t>
            </w:r>
          </w:p>
        </w:tc>
        <w:tc>
          <w:tcPr>
            <w:tcW w:w="586" w:type="dxa"/>
            <w:vAlign w:val="center"/>
          </w:tcPr>
          <w:p w14:paraId="5C44A253" w14:textId="77777777" w:rsidR="00A66A8A" w:rsidRDefault="00000000">
            <w:pPr>
              <w:pStyle w:val="ac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9.07</w:t>
            </w:r>
          </w:p>
        </w:tc>
      </w:tr>
    </w:tbl>
    <w:p w14:paraId="337E4D5D" w14:textId="77777777" w:rsidR="00A66A8A" w:rsidRDefault="00A66A8A">
      <w:pPr>
        <w:rPr>
          <w:rFonts w:ascii="仿宋" w:eastAsia="仿宋" w:hAnsi="仿宋" w:cs="仿宋" w:hint="eastAsia"/>
          <w:color w:val="000000"/>
          <w:kern w:val="0"/>
          <w:szCs w:val="21"/>
          <w:lang w:bidi="ar"/>
        </w:rPr>
      </w:pPr>
    </w:p>
    <w:p w14:paraId="0F6ABA76" w14:textId="06940695" w:rsidR="00A66A8A" w:rsidRDefault="00ED558B">
      <w:pPr>
        <w:rPr>
          <w:rFonts w:ascii="仿宋" w:eastAsia="仿宋" w:hAnsi="仿宋" w:cs="仿宋" w:hint="eastAsia"/>
          <w:color w:val="000000"/>
          <w:kern w:val="0"/>
          <w:szCs w:val="21"/>
          <w:lang w:bidi="ar"/>
        </w:rPr>
      </w:pPr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Comparative Experiments</w:t>
      </w:r>
    </w:p>
    <w:tbl>
      <w:tblPr>
        <w:tblW w:w="8638" w:type="dxa"/>
        <w:jc w:val="center"/>
        <w:tblLook w:val="04A0" w:firstRow="1" w:lastRow="0" w:firstColumn="1" w:lastColumn="0" w:noHBand="0" w:noVBand="1"/>
      </w:tblPr>
      <w:tblGrid>
        <w:gridCol w:w="2781"/>
        <w:gridCol w:w="1419"/>
        <w:gridCol w:w="1132"/>
        <w:gridCol w:w="956"/>
        <w:gridCol w:w="1086"/>
        <w:gridCol w:w="1264"/>
      </w:tblGrid>
      <w:tr w:rsidR="00A66A8A" w14:paraId="0A17C3C9" w14:textId="77777777">
        <w:trPr>
          <w:trHeight w:val="396"/>
          <w:jc w:val="center"/>
        </w:trPr>
        <w:tc>
          <w:tcPr>
            <w:tcW w:w="2780" w:type="dxa"/>
            <w:shd w:val="clear" w:color="auto" w:fill="DEE6EF"/>
            <w:vAlign w:val="center"/>
          </w:tcPr>
          <w:p w14:paraId="0C7FF3E6" w14:textId="645FFEA3" w:rsidR="00A66A8A" w:rsidRPr="00ED558B" w:rsidRDefault="00ED558B">
            <w:pPr>
              <w:jc w:val="center"/>
              <w:rPr>
                <w:rFonts w:eastAsia="宋体" w:hint="eastAsia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model</w:t>
            </w:r>
          </w:p>
        </w:tc>
        <w:tc>
          <w:tcPr>
            <w:tcW w:w="1419" w:type="dxa"/>
            <w:shd w:val="clear" w:color="auto" w:fill="DEE6EF"/>
            <w:vAlign w:val="center"/>
          </w:tcPr>
          <w:p w14:paraId="23BC666B" w14:textId="77777777" w:rsidR="00A66A8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Map.5</w:t>
            </w:r>
          </w:p>
        </w:tc>
        <w:tc>
          <w:tcPr>
            <w:tcW w:w="1132" w:type="dxa"/>
            <w:shd w:val="clear" w:color="auto" w:fill="DEE6EF"/>
            <w:vAlign w:val="center"/>
          </w:tcPr>
          <w:p w14:paraId="0DB1E2A1" w14:textId="77777777" w:rsidR="00A66A8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Map.95</w:t>
            </w:r>
          </w:p>
        </w:tc>
        <w:tc>
          <w:tcPr>
            <w:tcW w:w="956" w:type="dxa"/>
            <w:shd w:val="clear" w:color="auto" w:fill="DEE6EF"/>
            <w:vAlign w:val="center"/>
          </w:tcPr>
          <w:p w14:paraId="7C4FE019" w14:textId="77777777" w:rsidR="00A66A8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086" w:type="dxa"/>
            <w:shd w:val="clear" w:color="auto" w:fill="DEE6EF"/>
            <w:vAlign w:val="center"/>
          </w:tcPr>
          <w:p w14:paraId="1F552654" w14:textId="77777777" w:rsidR="00A66A8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264" w:type="dxa"/>
            <w:shd w:val="clear" w:color="auto" w:fill="DEE6EF"/>
            <w:vAlign w:val="center"/>
          </w:tcPr>
          <w:p w14:paraId="20AC391D" w14:textId="77777777" w:rsidR="00A66A8A" w:rsidRDefault="0000000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Wsz</w:t>
            </w:r>
            <w:proofErr w:type="spellEnd"/>
          </w:p>
        </w:tc>
      </w:tr>
      <w:tr w:rsidR="00A66A8A" w14:paraId="5836EDCE" w14:textId="77777777">
        <w:trPr>
          <w:trHeight w:val="397"/>
          <w:jc w:val="center"/>
        </w:trPr>
        <w:tc>
          <w:tcPr>
            <w:tcW w:w="2780" w:type="dxa"/>
            <w:vAlign w:val="center"/>
          </w:tcPr>
          <w:p w14:paraId="4CBEBCFA" w14:textId="77777777" w:rsidR="00A66A8A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yolov11n</w:t>
            </w:r>
          </w:p>
        </w:tc>
        <w:tc>
          <w:tcPr>
            <w:tcW w:w="1419" w:type="dxa"/>
            <w:vAlign w:val="center"/>
          </w:tcPr>
          <w:p w14:paraId="4C649D2F" w14:textId="77777777" w:rsidR="00A66A8A" w:rsidRDefault="00000000">
            <w:pPr>
              <w:pStyle w:val="ac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89.92</w:t>
            </w:r>
          </w:p>
        </w:tc>
        <w:tc>
          <w:tcPr>
            <w:tcW w:w="1132" w:type="dxa"/>
            <w:vAlign w:val="center"/>
          </w:tcPr>
          <w:p w14:paraId="4AEEF029" w14:textId="77777777" w:rsidR="00A66A8A" w:rsidRDefault="00000000">
            <w:pPr>
              <w:pStyle w:val="ac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62.81</w:t>
            </w:r>
          </w:p>
        </w:tc>
        <w:tc>
          <w:tcPr>
            <w:tcW w:w="956" w:type="dxa"/>
            <w:vAlign w:val="center"/>
          </w:tcPr>
          <w:p w14:paraId="4B8037CD" w14:textId="77777777" w:rsidR="00A66A8A" w:rsidRDefault="00000000">
            <w:pPr>
              <w:pStyle w:val="ac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89.01</w:t>
            </w:r>
          </w:p>
        </w:tc>
        <w:tc>
          <w:tcPr>
            <w:tcW w:w="1086" w:type="dxa"/>
            <w:vAlign w:val="center"/>
          </w:tcPr>
          <w:p w14:paraId="10E98453" w14:textId="77777777" w:rsidR="00A66A8A" w:rsidRDefault="00000000">
            <w:pPr>
              <w:pStyle w:val="ac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85.37</w:t>
            </w:r>
          </w:p>
        </w:tc>
        <w:tc>
          <w:tcPr>
            <w:tcW w:w="1264" w:type="dxa"/>
            <w:vAlign w:val="center"/>
          </w:tcPr>
          <w:p w14:paraId="69861740" w14:textId="77777777" w:rsidR="00A66A8A" w:rsidRDefault="00000000">
            <w:pPr>
              <w:pStyle w:val="ac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5.22</w:t>
            </w:r>
          </w:p>
        </w:tc>
      </w:tr>
      <w:tr w:rsidR="00A66A8A" w14:paraId="19BE6595" w14:textId="77777777">
        <w:trPr>
          <w:trHeight w:val="417"/>
          <w:jc w:val="center"/>
        </w:trPr>
        <w:tc>
          <w:tcPr>
            <w:tcW w:w="2780" w:type="dxa"/>
            <w:vAlign w:val="center"/>
          </w:tcPr>
          <w:p w14:paraId="4E4DE5D5" w14:textId="77777777" w:rsidR="00A66A8A" w:rsidRDefault="00000000">
            <w:pPr>
              <w:pStyle w:val="ac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yolov10n</w:t>
            </w:r>
          </w:p>
        </w:tc>
        <w:tc>
          <w:tcPr>
            <w:tcW w:w="1419" w:type="dxa"/>
            <w:vAlign w:val="center"/>
          </w:tcPr>
          <w:p w14:paraId="1D76E8BC" w14:textId="77777777" w:rsidR="00A66A8A" w:rsidRDefault="00000000">
            <w:pPr>
              <w:pStyle w:val="ac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81.53</w:t>
            </w:r>
          </w:p>
        </w:tc>
        <w:tc>
          <w:tcPr>
            <w:tcW w:w="1132" w:type="dxa"/>
            <w:vAlign w:val="center"/>
          </w:tcPr>
          <w:p w14:paraId="75CB2B4B" w14:textId="77777777" w:rsidR="00A66A8A" w:rsidRDefault="00000000">
            <w:pPr>
              <w:pStyle w:val="ac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52.99</w:t>
            </w:r>
          </w:p>
        </w:tc>
        <w:tc>
          <w:tcPr>
            <w:tcW w:w="956" w:type="dxa"/>
            <w:vAlign w:val="center"/>
          </w:tcPr>
          <w:p w14:paraId="0E48C287" w14:textId="77777777" w:rsidR="00A66A8A" w:rsidRDefault="00000000">
            <w:pPr>
              <w:pStyle w:val="ac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76.25</w:t>
            </w:r>
          </w:p>
        </w:tc>
        <w:tc>
          <w:tcPr>
            <w:tcW w:w="1086" w:type="dxa"/>
            <w:vAlign w:val="center"/>
          </w:tcPr>
          <w:p w14:paraId="185B6646" w14:textId="77777777" w:rsidR="00A66A8A" w:rsidRDefault="00000000">
            <w:pPr>
              <w:pStyle w:val="ac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76.96</w:t>
            </w:r>
          </w:p>
        </w:tc>
        <w:tc>
          <w:tcPr>
            <w:tcW w:w="1264" w:type="dxa"/>
            <w:vAlign w:val="center"/>
          </w:tcPr>
          <w:p w14:paraId="056F4BDF" w14:textId="77777777" w:rsidR="00A66A8A" w:rsidRDefault="00000000">
            <w:pPr>
              <w:pStyle w:val="ac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5.48</w:t>
            </w:r>
          </w:p>
        </w:tc>
      </w:tr>
      <w:tr w:rsidR="00A66A8A" w14:paraId="23845F5B" w14:textId="77777777">
        <w:trPr>
          <w:trHeight w:val="397"/>
          <w:jc w:val="center"/>
        </w:trPr>
        <w:tc>
          <w:tcPr>
            <w:tcW w:w="2780" w:type="dxa"/>
            <w:vAlign w:val="center"/>
          </w:tcPr>
          <w:p w14:paraId="384BC81E" w14:textId="77777777" w:rsidR="00A66A8A" w:rsidRDefault="00000000">
            <w:pPr>
              <w:pStyle w:val="ac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yolov8n</w:t>
            </w:r>
          </w:p>
        </w:tc>
        <w:tc>
          <w:tcPr>
            <w:tcW w:w="1419" w:type="dxa"/>
            <w:vAlign w:val="center"/>
          </w:tcPr>
          <w:p w14:paraId="4E48E936" w14:textId="77777777" w:rsidR="00A66A8A" w:rsidRDefault="00000000">
            <w:pPr>
              <w:pStyle w:val="ac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83.69</w:t>
            </w:r>
          </w:p>
        </w:tc>
        <w:tc>
          <w:tcPr>
            <w:tcW w:w="1132" w:type="dxa"/>
            <w:vAlign w:val="center"/>
          </w:tcPr>
          <w:p w14:paraId="5E278CF0" w14:textId="77777777" w:rsidR="00A66A8A" w:rsidRDefault="00000000">
            <w:pPr>
              <w:pStyle w:val="ac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53.74</w:t>
            </w:r>
          </w:p>
        </w:tc>
        <w:tc>
          <w:tcPr>
            <w:tcW w:w="956" w:type="dxa"/>
            <w:vAlign w:val="center"/>
          </w:tcPr>
          <w:p w14:paraId="2E56C89A" w14:textId="77777777" w:rsidR="00A66A8A" w:rsidRDefault="00000000">
            <w:pPr>
              <w:pStyle w:val="ac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83.03</w:t>
            </w:r>
          </w:p>
        </w:tc>
        <w:tc>
          <w:tcPr>
            <w:tcW w:w="1086" w:type="dxa"/>
            <w:vAlign w:val="center"/>
          </w:tcPr>
          <w:p w14:paraId="525A879F" w14:textId="77777777" w:rsidR="00A66A8A" w:rsidRDefault="00000000">
            <w:pPr>
              <w:pStyle w:val="ac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76.16</w:t>
            </w:r>
          </w:p>
        </w:tc>
        <w:tc>
          <w:tcPr>
            <w:tcW w:w="1264" w:type="dxa"/>
            <w:vAlign w:val="center"/>
          </w:tcPr>
          <w:p w14:paraId="7611CA22" w14:textId="77777777" w:rsidR="00A66A8A" w:rsidRDefault="00000000">
            <w:pPr>
              <w:pStyle w:val="ac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5.36</w:t>
            </w:r>
          </w:p>
        </w:tc>
      </w:tr>
      <w:tr w:rsidR="00A66A8A" w14:paraId="3B68B9D7" w14:textId="77777777">
        <w:trPr>
          <w:trHeight w:val="397"/>
          <w:jc w:val="center"/>
        </w:trPr>
        <w:tc>
          <w:tcPr>
            <w:tcW w:w="2780" w:type="dxa"/>
            <w:vAlign w:val="center"/>
          </w:tcPr>
          <w:p w14:paraId="284AFA34" w14:textId="77777777" w:rsidR="00A66A8A" w:rsidRDefault="00000000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ssd</w:t>
            </w:r>
            <w:proofErr w:type="spellEnd"/>
          </w:p>
        </w:tc>
        <w:tc>
          <w:tcPr>
            <w:tcW w:w="1419" w:type="dxa"/>
            <w:vAlign w:val="center"/>
          </w:tcPr>
          <w:p w14:paraId="5F6D760E" w14:textId="77777777" w:rsidR="00A66A8A" w:rsidRDefault="00000000">
            <w:pPr>
              <w:pStyle w:val="ac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1132" w:type="dxa"/>
            <w:vAlign w:val="center"/>
          </w:tcPr>
          <w:p w14:paraId="0556D6C6" w14:textId="77777777" w:rsidR="00A66A8A" w:rsidRDefault="00000000">
            <w:pPr>
              <w:pStyle w:val="ac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27.1</w:t>
            </w:r>
          </w:p>
        </w:tc>
        <w:tc>
          <w:tcPr>
            <w:tcW w:w="956" w:type="dxa"/>
            <w:vAlign w:val="center"/>
          </w:tcPr>
          <w:p w14:paraId="6F7A1BAE" w14:textId="77777777" w:rsidR="00A66A8A" w:rsidRDefault="00000000">
            <w:pPr>
              <w:pStyle w:val="ac"/>
              <w:jc w:val="center"/>
              <w:rPr>
                <w:rFonts w:ascii="apple-system;BlinkMacSystemFont" w:hAnsi="apple-system;BlinkMacSystemFont"/>
                <w:color w:val="000000"/>
                <w:sz w:val="18"/>
                <w:szCs w:val="18"/>
              </w:rPr>
            </w:pPr>
            <w:r>
              <w:rPr>
                <w:rFonts w:ascii="apple-system;BlinkMacSystemFont" w:hAnsi="apple-system;BlinkMacSystemFont"/>
                <w:color w:val="000000"/>
                <w:sz w:val="18"/>
                <w:szCs w:val="18"/>
              </w:rPr>
              <w:t>31.11</w:t>
            </w:r>
          </w:p>
        </w:tc>
        <w:tc>
          <w:tcPr>
            <w:tcW w:w="1086" w:type="dxa"/>
            <w:vAlign w:val="center"/>
          </w:tcPr>
          <w:p w14:paraId="3A84D36E" w14:textId="77777777" w:rsidR="00A66A8A" w:rsidRDefault="00000000">
            <w:pPr>
              <w:pStyle w:val="ac"/>
              <w:jc w:val="center"/>
              <w:rPr>
                <w:rFonts w:ascii="apple-system;BlinkMacSystemFont" w:hAnsi="apple-system;BlinkMacSystemFont"/>
                <w:color w:val="000000"/>
                <w:sz w:val="18"/>
                <w:szCs w:val="18"/>
              </w:rPr>
            </w:pPr>
            <w:r>
              <w:rPr>
                <w:rFonts w:ascii="apple-system;BlinkMacSystemFont" w:hAnsi="apple-system;BlinkMacSystemFont"/>
                <w:color w:val="000000"/>
                <w:sz w:val="18"/>
                <w:szCs w:val="18"/>
              </w:rPr>
              <w:t>86.62</w:t>
            </w:r>
          </w:p>
        </w:tc>
        <w:tc>
          <w:tcPr>
            <w:tcW w:w="1264" w:type="dxa"/>
            <w:vAlign w:val="center"/>
          </w:tcPr>
          <w:p w14:paraId="14AFE81F" w14:textId="77777777" w:rsidR="00A66A8A" w:rsidRDefault="00000000">
            <w:pPr>
              <w:pStyle w:val="ac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17.86</w:t>
            </w:r>
          </w:p>
        </w:tc>
      </w:tr>
      <w:tr w:rsidR="00A66A8A" w14:paraId="6022F926" w14:textId="77777777">
        <w:trPr>
          <w:jc w:val="center"/>
        </w:trPr>
        <w:tc>
          <w:tcPr>
            <w:tcW w:w="2780" w:type="dxa"/>
            <w:vAlign w:val="center"/>
          </w:tcPr>
          <w:p w14:paraId="3BAE3902" w14:textId="77777777" w:rsidR="00A66A8A" w:rsidRDefault="0000000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retinanet</w:t>
            </w:r>
            <w:proofErr w:type="spellEnd"/>
          </w:p>
        </w:tc>
        <w:tc>
          <w:tcPr>
            <w:tcW w:w="1419" w:type="dxa"/>
            <w:vAlign w:val="center"/>
          </w:tcPr>
          <w:p w14:paraId="25CDDBA4" w14:textId="77777777" w:rsidR="00A66A8A" w:rsidRDefault="00000000">
            <w:pPr>
              <w:pStyle w:val="ac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51.55</w:t>
            </w:r>
          </w:p>
        </w:tc>
        <w:tc>
          <w:tcPr>
            <w:tcW w:w="1132" w:type="dxa"/>
            <w:vAlign w:val="center"/>
          </w:tcPr>
          <w:p w14:paraId="656FFB37" w14:textId="77777777" w:rsidR="00A66A8A" w:rsidRDefault="00000000">
            <w:pPr>
              <w:pStyle w:val="ac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21.4</w:t>
            </w:r>
          </w:p>
        </w:tc>
        <w:tc>
          <w:tcPr>
            <w:tcW w:w="956" w:type="dxa"/>
            <w:vAlign w:val="center"/>
          </w:tcPr>
          <w:p w14:paraId="1405689D" w14:textId="77777777" w:rsidR="00A66A8A" w:rsidRDefault="00000000">
            <w:pPr>
              <w:pStyle w:val="ac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  <w:r>
              <w:rPr>
                <w:rFonts w:ascii="apple-system;BlinkMacSystemFont" w:hAnsi="apple-system;BlinkMacSystemFont"/>
                <w:color w:val="000000"/>
                <w:sz w:val="18"/>
                <w:szCs w:val="18"/>
              </w:rPr>
              <w:t>57.96</w:t>
            </w:r>
          </w:p>
        </w:tc>
        <w:tc>
          <w:tcPr>
            <w:tcW w:w="1086" w:type="dxa"/>
            <w:vAlign w:val="center"/>
          </w:tcPr>
          <w:p w14:paraId="2E8B1DA3" w14:textId="77777777" w:rsidR="00A66A8A" w:rsidRDefault="00000000">
            <w:pPr>
              <w:pStyle w:val="ac"/>
              <w:jc w:val="center"/>
              <w:rPr>
                <w:rFonts w:ascii="apple-system;BlinkMacSystemFont" w:hAnsi="apple-system;BlinkMacSystemFont"/>
                <w:color w:val="000000"/>
                <w:sz w:val="18"/>
                <w:szCs w:val="18"/>
              </w:rPr>
            </w:pPr>
            <w:r>
              <w:rPr>
                <w:rFonts w:ascii="apple-system;BlinkMacSystemFont" w:hAnsi="apple-system;BlinkMacSystemFont"/>
                <w:color w:val="000000"/>
                <w:sz w:val="18"/>
                <w:szCs w:val="18"/>
              </w:rPr>
              <w:t>25.03</w:t>
            </w:r>
          </w:p>
        </w:tc>
        <w:tc>
          <w:tcPr>
            <w:tcW w:w="1264" w:type="dxa"/>
            <w:vAlign w:val="center"/>
          </w:tcPr>
          <w:p w14:paraId="29FCBE73" w14:textId="77777777" w:rsidR="00A66A8A" w:rsidRDefault="00000000">
            <w:pPr>
              <w:pStyle w:val="ac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76.07</w:t>
            </w:r>
          </w:p>
        </w:tc>
      </w:tr>
      <w:tr w:rsidR="00A66A8A" w14:paraId="4F2C7AD0" w14:textId="77777777">
        <w:trPr>
          <w:jc w:val="center"/>
        </w:trPr>
        <w:tc>
          <w:tcPr>
            <w:tcW w:w="2780" w:type="dxa"/>
            <w:vAlign w:val="center"/>
          </w:tcPr>
          <w:p w14:paraId="38BD0990" w14:textId="77777777" w:rsidR="00A66A8A" w:rsidRDefault="0000000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rtdetr</w:t>
            </w:r>
            <w:proofErr w:type="spellEnd"/>
          </w:p>
        </w:tc>
        <w:tc>
          <w:tcPr>
            <w:tcW w:w="1419" w:type="dxa"/>
            <w:vAlign w:val="center"/>
          </w:tcPr>
          <w:p w14:paraId="47249C39" w14:textId="77777777" w:rsidR="00A66A8A" w:rsidRDefault="00000000">
            <w:pPr>
              <w:pStyle w:val="ac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81.79</w:t>
            </w:r>
          </w:p>
        </w:tc>
        <w:tc>
          <w:tcPr>
            <w:tcW w:w="1132" w:type="dxa"/>
            <w:vAlign w:val="center"/>
          </w:tcPr>
          <w:p w14:paraId="628A1869" w14:textId="77777777" w:rsidR="00A66A8A" w:rsidRDefault="00000000">
            <w:pPr>
              <w:pStyle w:val="ac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56" w:type="dxa"/>
            <w:vAlign w:val="center"/>
          </w:tcPr>
          <w:p w14:paraId="66D76EF3" w14:textId="77777777" w:rsidR="00A66A8A" w:rsidRDefault="00000000">
            <w:pPr>
              <w:pStyle w:val="ac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81.75</w:t>
            </w:r>
          </w:p>
        </w:tc>
        <w:tc>
          <w:tcPr>
            <w:tcW w:w="1086" w:type="dxa"/>
            <w:vAlign w:val="center"/>
          </w:tcPr>
          <w:p w14:paraId="71C85550" w14:textId="77777777" w:rsidR="00A66A8A" w:rsidRDefault="00000000">
            <w:pPr>
              <w:pStyle w:val="ac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72.63</w:t>
            </w:r>
          </w:p>
        </w:tc>
        <w:tc>
          <w:tcPr>
            <w:tcW w:w="1264" w:type="dxa"/>
            <w:vAlign w:val="center"/>
          </w:tcPr>
          <w:p w14:paraId="2D7DD3A0" w14:textId="77777777" w:rsidR="00A66A8A" w:rsidRDefault="00000000">
            <w:pPr>
              <w:pStyle w:val="ac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38.53</w:t>
            </w:r>
          </w:p>
        </w:tc>
      </w:tr>
      <w:tr w:rsidR="00A66A8A" w14:paraId="0D89FA32" w14:textId="77777777">
        <w:trPr>
          <w:jc w:val="center"/>
        </w:trPr>
        <w:tc>
          <w:tcPr>
            <w:tcW w:w="2780" w:type="dxa"/>
            <w:vAlign w:val="center"/>
          </w:tcPr>
          <w:p w14:paraId="787067A8" w14:textId="77777777" w:rsidR="00A66A8A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ours</w:t>
            </w:r>
          </w:p>
        </w:tc>
        <w:tc>
          <w:tcPr>
            <w:tcW w:w="1419" w:type="dxa"/>
            <w:vAlign w:val="center"/>
          </w:tcPr>
          <w:p w14:paraId="0B45A008" w14:textId="77777777" w:rsidR="00A66A8A" w:rsidRDefault="00000000">
            <w:pPr>
              <w:pStyle w:val="ac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1132" w:type="dxa"/>
            <w:vAlign w:val="center"/>
          </w:tcPr>
          <w:p w14:paraId="0918FA19" w14:textId="77777777" w:rsidR="00A66A8A" w:rsidRDefault="00000000">
            <w:pPr>
              <w:pStyle w:val="ac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66.66</w:t>
            </w:r>
          </w:p>
        </w:tc>
        <w:tc>
          <w:tcPr>
            <w:tcW w:w="956" w:type="dxa"/>
            <w:vAlign w:val="center"/>
          </w:tcPr>
          <w:p w14:paraId="1E3F447C" w14:textId="77777777" w:rsidR="00A66A8A" w:rsidRDefault="00000000">
            <w:pPr>
              <w:pStyle w:val="ac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91.66</w:t>
            </w:r>
          </w:p>
        </w:tc>
        <w:tc>
          <w:tcPr>
            <w:tcW w:w="1086" w:type="dxa"/>
            <w:vAlign w:val="center"/>
          </w:tcPr>
          <w:p w14:paraId="7C3313BF" w14:textId="77777777" w:rsidR="00A66A8A" w:rsidRDefault="00000000">
            <w:pPr>
              <w:pStyle w:val="ac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88.75</w:t>
            </w:r>
          </w:p>
        </w:tc>
        <w:tc>
          <w:tcPr>
            <w:tcW w:w="1264" w:type="dxa"/>
            <w:vAlign w:val="center"/>
          </w:tcPr>
          <w:p w14:paraId="4E898A43" w14:textId="77777777" w:rsidR="00A66A8A" w:rsidRDefault="00000000">
            <w:pPr>
              <w:pStyle w:val="ac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9.07</w:t>
            </w:r>
          </w:p>
        </w:tc>
      </w:tr>
    </w:tbl>
    <w:p w14:paraId="014FF914" w14:textId="77777777" w:rsidR="00A66A8A" w:rsidRDefault="00A66A8A">
      <w:pPr>
        <w:rPr>
          <w:rFonts w:ascii="仿宋" w:eastAsia="仿宋" w:hAnsi="仿宋" w:cs="仿宋"/>
          <w:color w:val="000000"/>
          <w:kern w:val="0"/>
          <w:szCs w:val="21"/>
          <w:lang w:bidi="ar"/>
        </w:rPr>
      </w:pPr>
    </w:p>
    <w:p w14:paraId="3DBA1030" w14:textId="77777777" w:rsidR="00ED558B" w:rsidRDefault="00ED558B" w:rsidP="00ED558B">
      <w:pPr>
        <w:rPr>
          <w:rFonts w:ascii="仿宋" w:eastAsia="仿宋" w:hAnsi="仿宋" w:cs="仿宋"/>
          <w:b/>
          <w:bCs/>
          <w:color w:val="000000"/>
          <w:kern w:val="0"/>
          <w:szCs w:val="21"/>
          <w:lang w:bidi="ar"/>
        </w:rPr>
      </w:pPr>
    </w:p>
    <w:p w14:paraId="31CDCE9C" w14:textId="77777777" w:rsidR="00ED558B" w:rsidRDefault="00ED558B" w:rsidP="00ED558B">
      <w:pPr>
        <w:rPr>
          <w:rFonts w:ascii="仿宋" w:eastAsia="仿宋" w:hAnsi="仿宋" w:cs="仿宋"/>
          <w:b/>
          <w:bCs/>
          <w:color w:val="000000"/>
          <w:kern w:val="0"/>
          <w:szCs w:val="21"/>
          <w:lang w:bidi="ar"/>
        </w:rPr>
      </w:pPr>
    </w:p>
    <w:p w14:paraId="7A6A6F6B" w14:textId="260BE7F1" w:rsidR="00ED558B" w:rsidRPr="00ED558B" w:rsidRDefault="00ED558B" w:rsidP="00ED558B">
      <w:p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r w:rsidRPr="00ED558B">
        <w:rPr>
          <w:rFonts w:ascii="仿宋" w:eastAsia="仿宋" w:hAnsi="仿宋" w:cs="仿宋"/>
          <w:b/>
          <w:bCs/>
          <w:color w:val="000000"/>
          <w:kern w:val="0"/>
          <w:szCs w:val="21"/>
          <w:lang w:bidi="ar"/>
        </w:rPr>
        <w:t>Summary of Improvements:</w:t>
      </w:r>
    </w:p>
    <w:p w14:paraId="604142BF" w14:textId="77777777" w:rsidR="00ED558B" w:rsidRPr="00ED558B" w:rsidRDefault="00ED558B" w:rsidP="00ED558B">
      <w:pPr>
        <w:numPr>
          <w:ilvl w:val="0"/>
          <w:numId w:val="1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proofErr w:type="spellStart"/>
      <w:r w:rsidRPr="00ED558B">
        <w:rPr>
          <w:rFonts w:ascii="仿宋" w:eastAsia="仿宋" w:hAnsi="仿宋" w:cs="仿宋"/>
          <w:b/>
          <w:bCs/>
          <w:color w:val="000000"/>
          <w:kern w:val="0"/>
          <w:szCs w:val="21"/>
          <w:lang w:bidi="ar"/>
        </w:rPr>
        <w:t>RegNetY</w:t>
      </w:r>
      <w:proofErr w:type="spellEnd"/>
      <w:r w:rsidRPr="00ED558B">
        <w:rPr>
          <w:rFonts w:ascii="仿宋" w:eastAsia="仿宋" w:hAnsi="仿宋" w:cs="仿宋"/>
          <w:b/>
          <w:bCs/>
          <w:color w:val="000000"/>
          <w:kern w:val="0"/>
          <w:szCs w:val="21"/>
          <w:lang w:bidi="ar"/>
        </w:rPr>
        <w:t xml:space="preserve"> backbone</w:t>
      </w:r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br/>
      </w:r>
      <w:r w:rsidRPr="00ED558B">
        <w:rPr>
          <w:rFonts w:ascii="仿宋" w:eastAsia="仿宋" w:hAnsi="仿宋" w:cs="仿宋"/>
          <w:b/>
          <w:bCs/>
          <w:color w:val="000000"/>
          <w:kern w:val="0"/>
          <w:szCs w:val="21"/>
          <w:lang w:bidi="ar"/>
        </w:rPr>
        <w:t>Core logic:</w:t>
      </w:r>
    </w:p>
    <w:p w14:paraId="42AA825D" w14:textId="77777777" w:rsidR="00ED558B" w:rsidRPr="00ED558B" w:rsidRDefault="00ED558B" w:rsidP="00ED558B">
      <w:pPr>
        <w:numPr>
          <w:ilvl w:val="1"/>
          <w:numId w:val="1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proofErr w:type="spellStart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RegNetY</w:t>
      </w:r>
      <w:proofErr w:type="spellEnd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 xml:space="preserve"> is a variant in the </w:t>
      </w:r>
      <w:proofErr w:type="spellStart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RegNet</w:t>
      </w:r>
      <w:proofErr w:type="spellEnd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 xml:space="preserve"> family that introduces the Squeeze-and-Excitation (SE) module.</w:t>
      </w:r>
    </w:p>
    <w:p w14:paraId="2257EF9F" w14:textId="77777777" w:rsidR="00ED558B" w:rsidRPr="00ED558B" w:rsidRDefault="00ED558B" w:rsidP="00ED558B">
      <w:pPr>
        <w:numPr>
          <w:ilvl w:val="1"/>
          <w:numId w:val="1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The SE module enhances representational capacity by adaptively recalibrating channel-wise feature responses.</w:t>
      </w:r>
    </w:p>
    <w:p w14:paraId="22906554" w14:textId="77777777" w:rsidR="00ED558B" w:rsidRPr="00ED558B" w:rsidRDefault="00ED558B" w:rsidP="00ED558B">
      <w:pPr>
        <w:numPr>
          <w:ilvl w:val="1"/>
          <w:numId w:val="1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proofErr w:type="spellStart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RegNetY</w:t>
      </w:r>
      <w:proofErr w:type="spellEnd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 xml:space="preserve"> uses quantized linear parameterization to design the network.</w:t>
      </w:r>
    </w:p>
    <w:p w14:paraId="188C14B2" w14:textId="77777777" w:rsidR="00ED558B" w:rsidRPr="00ED558B" w:rsidRDefault="00ED558B" w:rsidP="00ED558B">
      <w:pPr>
        <w:numPr>
          <w:ilvl w:val="1"/>
          <w:numId w:val="1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 xml:space="preserve">Network width and depth are controlled via parameters such as </w:t>
      </w:r>
      <w:proofErr w:type="spellStart"/>
      <w:r w:rsidRPr="00ED558B">
        <w:rPr>
          <w:rFonts w:ascii="仿宋" w:eastAsia="仿宋" w:hAnsi="仿宋" w:cs="仿宋"/>
          <w:i/>
          <w:iCs/>
          <w:color w:val="000000"/>
          <w:kern w:val="0"/>
          <w:szCs w:val="21"/>
          <w:lang w:bidi="ar"/>
        </w:rPr>
        <w:t>w_a</w:t>
      </w:r>
      <w:proofErr w:type="spellEnd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 xml:space="preserve">, </w:t>
      </w:r>
      <w:r w:rsidRPr="00ED558B">
        <w:rPr>
          <w:rFonts w:ascii="仿宋" w:eastAsia="仿宋" w:hAnsi="仿宋" w:cs="仿宋"/>
          <w:i/>
          <w:iCs/>
          <w:color w:val="000000"/>
          <w:kern w:val="0"/>
          <w:szCs w:val="21"/>
          <w:lang w:bidi="ar"/>
        </w:rPr>
        <w:t>w_0</w:t>
      </w:r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 xml:space="preserve">, and </w:t>
      </w:r>
      <w:proofErr w:type="spellStart"/>
      <w:r w:rsidRPr="00ED558B">
        <w:rPr>
          <w:rFonts w:ascii="仿宋" w:eastAsia="仿宋" w:hAnsi="仿宋" w:cs="仿宋"/>
          <w:i/>
          <w:iCs/>
          <w:color w:val="000000"/>
          <w:kern w:val="0"/>
          <w:szCs w:val="21"/>
          <w:lang w:bidi="ar"/>
        </w:rPr>
        <w:t>w_m</w:t>
      </w:r>
      <w:proofErr w:type="spellEnd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.</w:t>
      </w:r>
    </w:p>
    <w:p w14:paraId="5102A796" w14:textId="77777777" w:rsidR="00ED558B" w:rsidRPr="00ED558B" w:rsidRDefault="00ED558B" w:rsidP="00ED558B">
      <w:pPr>
        <w:numPr>
          <w:ilvl w:val="1"/>
          <w:numId w:val="1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Group convolutions and bottleneck structures improve computational efficiency.</w:t>
      </w:r>
    </w:p>
    <w:p w14:paraId="6DE404CC" w14:textId="77777777" w:rsidR="00ED558B" w:rsidRPr="00ED558B" w:rsidRDefault="00ED558B" w:rsidP="00ED558B">
      <w:pPr>
        <w:numPr>
          <w:ilvl w:val="1"/>
          <w:numId w:val="1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It serves as an efficient backbone for object detectors such as YOLO.</w:t>
      </w:r>
    </w:p>
    <w:p w14:paraId="5F99081C" w14:textId="77777777" w:rsidR="00ED558B" w:rsidRPr="00ED558B" w:rsidRDefault="00ED558B" w:rsidP="00ED558B">
      <w:pPr>
        <w:numPr>
          <w:ilvl w:val="0"/>
          <w:numId w:val="1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proofErr w:type="spellStart"/>
      <w:r w:rsidRPr="00ED558B">
        <w:rPr>
          <w:rFonts w:ascii="仿宋" w:eastAsia="仿宋" w:hAnsi="仿宋" w:cs="仿宋"/>
          <w:b/>
          <w:bCs/>
          <w:color w:val="000000"/>
          <w:kern w:val="0"/>
          <w:szCs w:val="21"/>
          <w:lang w:bidi="ar"/>
        </w:rPr>
        <w:t>WIoU</w:t>
      </w:r>
      <w:proofErr w:type="spellEnd"/>
      <w:r w:rsidRPr="00ED558B">
        <w:rPr>
          <w:rFonts w:ascii="仿宋" w:eastAsia="仿宋" w:hAnsi="仿宋" w:cs="仿宋"/>
          <w:b/>
          <w:bCs/>
          <w:color w:val="000000"/>
          <w:kern w:val="0"/>
          <w:szCs w:val="21"/>
          <w:lang w:bidi="ar"/>
        </w:rPr>
        <w:t xml:space="preserve"> loss</w:t>
      </w:r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br/>
      </w:r>
      <w:r w:rsidRPr="00ED558B">
        <w:rPr>
          <w:rFonts w:ascii="仿宋" w:eastAsia="仿宋" w:hAnsi="仿宋" w:cs="仿宋"/>
          <w:b/>
          <w:bCs/>
          <w:color w:val="000000"/>
          <w:kern w:val="0"/>
          <w:szCs w:val="21"/>
          <w:lang w:bidi="ar"/>
        </w:rPr>
        <w:t>Core logic:</w:t>
      </w:r>
    </w:p>
    <w:p w14:paraId="0CD8F9B5" w14:textId="77777777" w:rsidR="00ED558B" w:rsidRPr="00ED558B" w:rsidRDefault="00ED558B" w:rsidP="00ED558B">
      <w:pPr>
        <w:numPr>
          <w:ilvl w:val="1"/>
          <w:numId w:val="1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 xml:space="preserve">Initialize the </w:t>
      </w:r>
      <w:proofErr w:type="spellStart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WIoU_Scale</w:t>
      </w:r>
      <w:proofErr w:type="spellEnd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 xml:space="preserve"> class with </w:t>
      </w:r>
      <w:proofErr w:type="spellStart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IoU</w:t>
      </w:r>
      <w:proofErr w:type="spellEnd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 xml:space="preserve"> values.</w:t>
      </w:r>
    </w:p>
    <w:p w14:paraId="7AF05EEE" w14:textId="77777777" w:rsidR="00ED558B" w:rsidRPr="00ED558B" w:rsidRDefault="00ED558B" w:rsidP="00ED558B">
      <w:pPr>
        <w:numPr>
          <w:ilvl w:val="1"/>
          <w:numId w:val="1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Automatically call the _update method to maintain a running mean (</w:t>
      </w:r>
      <w:proofErr w:type="spellStart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iou_mean</w:t>
      </w:r>
      <w:proofErr w:type="spellEnd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).</w:t>
      </w:r>
    </w:p>
    <w:p w14:paraId="7276C9EB" w14:textId="77777777" w:rsidR="00ED558B" w:rsidRPr="00ED558B" w:rsidRDefault="00ED558B" w:rsidP="00ED558B">
      <w:pPr>
        <w:numPr>
          <w:ilvl w:val="1"/>
          <w:numId w:val="1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lastRenderedPageBreak/>
        <w:t>Choose different loss formulations based on the monotonous flag.</w:t>
      </w:r>
    </w:p>
    <w:p w14:paraId="522D2725" w14:textId="77777777" w:rsidR="00ED558B" w:rsidRPr="00ED558B" w:rsidRDefault="00ED558B" w:rsidP="00ED558B">
      <w:pPr>
        <w:numPr>
          <w:ilvl w:val="1"/>
          <w:numId w:val="1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Apply composite scaling based on the gamma and delta parameters.</w:t>
      </w:r>
    </w:p>
    <w:p w14:paraId="29438A23" w14:textId="77777777" w:rsidR="00ED558B" w:rsidRPr="00ED558B" w:rsidRDefault="00ED558B" w:rsidP="00ED558B">
      <w:pPr>
        <w:numPr>
          <w:ilvl w:val="1"/>
          <w:numId w:val="1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Return the scaled loss value.</w:t>
      </w:r>
    </w:p>
    <w:p w14:paraId="1F17366F" w14:textId="77777777" w:rsidR="00ED558B" w:rsidRPr="00ED558B" w:rsidRDefault="00ED558B" w:rsidP="00ED558B">
      <w:pPr>
        <w:numPr>
          <w:ilvl w:val="0"/>
          <w:numId w:val="1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r w:rsidRPr="00ED558B">
        <w:rPr>
          <w:rFonts w:ascii="仿宋" w:eastAsia="仿宋" w:hAnsi="仿宋" w:cs="仿宋"/>
          <w:b/>
          <w:bCs/>
          <w:color w:val="000000"/>
          <w:kern w:val="0"/>
          <w:szCs w:val="21"/>
          <w:lang w:bidi="ar"/>
        </w:rPr>
        <w:t>MSAM attention mechanism</w:t>
      </w:r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br/>
      </w:r>
      <w:r w:rsidRPr="00ED558B">
        <w:rPr>
          <w:rFonts w:ascii="仿宋" w:eastAsia="仿宋" w:hAnsi="仿宋" w:cs="仿宋"/>
          <w:b/>
          <w:bCs/>
          <w:color w:val="000000"/>
          <w:kern w:val="0"/>
          <w:szCs w:val="21"/>
          <w:lang w:bidi="ar"/>
        </w:rPr>
        <w:t>Core logic:</w:t>
      </w:r>
    </w:p>
    <w:p w14:paraId="5890125F" w14:textId="77777777" w:rsidR="00ED558B" w:rsidRPr="00ED558B" w:rsidRDefault="00ED558B" w:rsidP="00ED558B">
      <w:pPr>
        <w:numPr>
          <w:ilvl w:val="1"/>
          <w:numId w:val="1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Built as an improvement over CBAM: replace the original channel attention with multi-scale convolutions, giving the channel attention multi-scale capability.</w:t>
      </w:r>
    </w:p>
    <w:p w14:paraId="2A1D9C62" w14:textId="77777777" w:rsidR="00ED558B" w:rsidRPr="00ED558B" w:rsidRDefault="00ED558B" w:rsidP="00ED558B">
      <w:pPr>
        <w:numPr>
          <w:ilvl w:val="1"/>
          <w:numId w:val="1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 xml:space="preserve">The first half is replaced with an </w:t>
      </w:r>
      <w:proofErr w:type="spellStart"/>
      <w:r w:rsidRPr="00ED558B">
        <w:rPr>
          <w:rFonts w:ascii="仿宋" w:eastAsia="仿宋" w:hAnsi="仿宋" w:cs="仿宋"/>
          <w:b/>
          <w:bCs/>
          <w:color w:val="000000"/>
          <w:kern w:val="0"/>
          <w:szCs w:val="21"/>
          <w:lang w:bidi="ar"/>
        </w:rPr>
        <w:t>MSCAAttention</w:t>
      </w:r>
      <w:proofErr w:type="spellEnd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 xml:space="preserve"> module, which extracts features using multiple convolutions at different scales.</w:t>
      </w:r>
    </w:p>
    <w:p w14:paraId="4D051539" w14:textId="77777777" w:rsidR="00ED558B" w:rsidRPr="00ED558B" w:rsidRDefault="00ED558B" w:rsidP="00ED558B">
      <w:pPr>
        <w:numPr>
          <w:ilvl w:val="1"/>
          <w:numId w:val="1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 xml:space="preserve">The latter half still uses CBAM’s </w:t>
      </w:r>
      <w:proofErr w:type="spellStart"/>
      <w:r w:rsidRPr="00ED558B">
        <w:rPr>
          <w:rFonts w:ascii="仿宋" w:eastAsia="仿宋" w:hAnsi="仿宋" w:cs="仿宋"/>
          <w:b/>
          <w:bCs/>
          <w:color w:val="000000"/>
          <w:kern w:val="0"/>
          <w:szCs w:val="21"/>
          <w:lang w:bidi="ar"/>
        </w:rPr>
        <w:t>spatialAttention</w:t>
      </w:r>
      <w:proofErr w:type="spellEnd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 xml:space="preserve"> module.</w:t>
      </w:r>
    </w:p>
    <w:p w14:paraId="570BF955" w14:textId="77777777" w:rsidR="00ED558B" w:rsidRPr="00ED558B" w:rsidRDefault="00ED558B" w:rsidP="00ED558B">
      <w:pPr>
        <w:numPr>
          <w:ilvl w:val="1"/>
          <w:numId w:val="1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Element-wise multiply the outputs of (2) and (3) to obtain the final output.</w:t>
      </w:r>
    </w:p>
    <w:p w14:paraId="6D09425C" w14:textId="77777777" w:rsidR="00ED558B" w:rsidRDefault="00ED558B" w:rsidP="00ED558B">
      <w:pPr>
        <w:rPr>
          <w:rFonts w:ascii="仿宋" w:eastAsia="仿宋" w:hAnsi="仿宋" w:cs="仿宋"/>
          <w:b/>
          <w:bCs/>
          <w:color w:val="000000"/>
          <w:kern w:val="0"/>
          <w:szCs w:val="21"/>
          <w:lang w:bidi="ar"/>
        </w:rPr>
      </w:pPr>
    </w:p>
    <w:p w14:paraId="1DDCE110" w14:textId="77777777" w:rsidR="00ED558B" w:rsidRDefault="00ED558B" w:rsidP="00ED558B">
      <w:pPr>
        <w:rPr>
          <w:rFonts w:ascii="仿宋" w:eastAsia="仿宋" w:hAnsi="仿宋" w:cs="仿宋"/>
          <w:b/>
          <w:bCs/>
          <w:color w:val="000000"/>
          <w:kern w:val="0"/>
          <w:szCs w:val="21"/>
          <w:lang w:bidi="ar"/>
        </w:rPr>
      </w:pPr>
    </w:p>
    <w:p w14:paraId="14A7DA75" w14:textId="77777777" w:rsidR="00ED558B" w:rsidRDefault="00ED558B" w:rsidP="00ED558B">
      <w:pPr>
        <w:rPr>
          <w:rFonts w:ascii="仿宋" w:eastAsia="仿宋" w:hAnsi="仿宋" w:cs="仿宋"/>
          <w:b/>
          <w:bCs/>
          <w:color w:val="000000"/>
          <w:kern w:val="0"/>
          <w:szCs w:val="21"/>
          <w:lang w:bidi="ar"/>
        </w:rPr>
      </w:pPr>
    </w:p>
    <w:p w14:paraId="0169129E" w14:textId="3DB2EFD7" w:rsidR="00ED558B" w:rsidRPr="00ED558B" w:rsidRDefault="00ED558B" w:rsidP="00ED558B">
      <w:p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r w:rsidRPr="00ED558B">
        <w:rPr>
          <w:rFonts w:ascii="仿宋" w:eastAsia="仿宋" w:hAnsi="仿宋" w:cs="仿宋"/>
          <w:b/>
          <w:bCs/>
          <w:color w:val="000000"/>
          <w:kern w:val="0"/>
          <w:szCs w:val="21"/>
          <w:lang w:bidi="ar"/>
        </w:rPr>
        <w:t>Modification locations</w:t>
      </w:r>
    </w:p>
    <w:p w14:paraId="36FBD79E" w14:textId="77777777" w:rsidR="00ED558B" w:rsidRPr="00ED558B" w:rsidRDefault="00ED558B" w:rsidP="00ED558B">
      <w:pPr>
        <w:numPr>
          <w:ilvl w:val="0"/>
          <w:numId w:val="2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proofErr w:type="spellStart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ultralytics</w:t>
      </w:r>
      <w:proofErr w:type="spellEnd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/</w:t>
      </w:r>
      <w:proofErr w:type="spellStart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nn</w:t>
      </w:r>
      <w:proofErr w:type="spellEnd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/modules/block.py: import the various improved modules.</w:t>
      </w:r>
    </w:p>
    <w:p w14:paraId="768BA648" w14:textId="77777777" w:rsidR="00ED558B" w:rsidRPr="00ED558B" w:rsidRDefault="00ED558B" w:rsidP="00ED558B">
      <w:pPr>
        <w:numPr>
          <w:ilvl w:val="0"/>
          <w:numId w:val="2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proofErr w:type="spellStart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ultralytics</w:t>
      </w:r>
      <w:proofErr w:type="spellEnd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/</w:t>
      </w:r>
      <w:proofErr w:type="spellStart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nn</w:t>
      </w:r>
      <w:proofErr w:type="spellEnd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/modules/__init__.py: import the improved module classes and functions and add them to the package namespace.</w:t>
      </w:r>
    </w:p>
    <w:p w14:paraId="6677144F" w14:textId="77777777" w:rsidR="00ED558B" w:rsidRPr="00ED558B" w:rsidRDefault="00ED558B" w:rsidP="00ED558B">
      <w:pPr>
        <w:numPr>
          <w:ilvl w:val="0"/>
          <w:numId w:val="2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proofErr w:type="spellStart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ultralytics</w:t>
      </w:r>
      <w:proofErr w:type="spellEnd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/</w:t>
      </w:r>
      <w:proofErr w:type="spellStart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nn</w:t>
      </w:r>
      <w:proofErr w:type="spellEnd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/tasks.py: add functions in the parsing module to register the improved modules.</w:t>
      </w:r>
    </w:p>
    <w:p w14:paraId="01531A28" w14:textId="77777777" w:rsidR="00ED558B" w:rsidRPr="00ED558B" w:rsidRDefault="00ED558B" w:rsidP="00ED558B">
      <w:pPr>
        <w:numPr>
          <w:ilvl w:val="0"/>
          <w:numId w:val="2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YAML files: add the corresponding modules and insert attention before the detect head.</w:t>
      </w:r>
    </w:p>
    <w:p w14:paraId="6C1F22E1" w14:textId="77777777" w:rsidR="00ED558B" w:rsidRPr="00ED558B" w:rsidRDefault="00ED558B" w:rsidP="00ED558B">
      <w:pPr>
        <w:numPr>
          <w:ilvl w:val="0"/>
          <w:numId w:val="2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proofErr w:type="spellStart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ultralytics</w:t>
      </w:r>
      <w:proofErr w:type="spellEnd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/utils/loss.py: add the loss function definition.</w:t>
      </w:r>
    </w:p>
    <w:p w14:paraId="018A1458" w14:textId="77777777" w:rsidR="00ED558B" w:rsidRPr="00ED558B" w:rsidRDefault="00ED558B" w:rsidP="00ED558B">
      <w:pPr>
        <w:numPr>
          <w:ilvl w:val="0"/>
          <w:numId w:val="2"/>
        </w:numPr>
        <w:rPr>
          <w:rFonts w:ascii="仿宋" w:eastAsia="仿宋" w:hAnsi="仿宋" w:cs="仿宋"/>
          <w:color w:val="000000"/>
          <w:kern w:val="0"/>
          <w:szCs w:val="21"/>
          <w:lang w:bidi="ar"/>
        </w:rPr>
      </w:pPr>
      <w:proofErr w:type="spellStart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ultralytics</w:t>
      </w:r>
      <w:proofErr w:type="spellEnd"/>
      <w:r w:rsidRPr="00ED558B">
        <w:rPr>
          <w:rFonts w:ascii="仿宋" w:eastAsia="仿宋" w:hAnsi="仿宋" w:cs="仿宋"/>
          <w:color w:val="000000"/>
          <w:kern w:val="0"/>
          <w:szCs w:val="21"/>
          <w:lang w:bidi="ar"/>
        </w:rPr>
        <w:t>/utils/loss.py: apply the loss function.</w:t>
      </w:r>
    </w:p>
    <w:p w14:paraId="2B81E556" w14:textId="77777777" w:rsidR="00ED558B" w:rsidRDefault="00ED558B">
      <w:pPr>
        <w:rPr>
          <w:rFonts w:ascii="仿宋" w:eastAsia="仿宋" w:hAnsi="仿宋" w:cs="仿宋"/>
          <w:color w:val="000000"/>
          <w:kern w:val="0"/>
          <w:szCs w:val="21"/>
          <w:lang w:bidi="ar"/>
        </w:rPr>
      </w:pPr>
    </w:p>
    <w:sectPr w:rsidR="00ED558B">
      <w:pgSz w:w="11906" w:h="16838"/>
      <w:pgMar w:top="1440" w:right="1066" w:bottom="1440" w:left="98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E0781" w14:textId="77777777" w:rsidR="00FD72F9" w:rsidRDefault="00FD72F9" w:rsidP="002C2EA6">
      <w:r>
        <w:separator/>
      </w:r>
    </w:p>
  </w:endnote>
  <w:endnote w:type="continuationSeparator" w:id="0">
    <w:p w14:paraId="3E986B0F" w14:textId="77777777" w:rsidR="00FD72F9" w:rsidRDefault="00FD72F9" w:rsidP="002C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82E23" w14:textId="77777777" w:rsidR="00FD72F9" w:rsidRDefault="00FD72F9" w:rsidP="002C2EA6">
      <w:r>
        <w:separator/>
      </w:r>
    </w:p>
  </w:footnote>
  <w:footnote w:type="continuationSeparator" w:id="0">
    <w:p w14:paraId="7AA23493" w14:textId="77777777" w:rsidR="00FD72F9" w:rsidRDefault="00FD72F9" w:rsidP="002C2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0369A"/>
    <w:multiLevelType w:val="multilevel"/>
    <w:tmpl w:val="CB66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876DDB"/>
    <w:multiLevelType w:val="multilevel"/>
    <w:tmpl w:val="51B4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7974375">
    <w:abstractNumId w:val="1"/>
  </w:num>
  <w:num w:numId="2" w16cid:durableId="1716545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autoHyphenation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8A"/>
    <w:rsid w:val="002C2EA6"/>
    <w:rsid w:val="00A66A8A"/>
    <w:rsid w:val="00D145A2"/>
    <w:rsid w:val="00ED558B"/>
    <w:rsid w:val="00FD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A2C583"/>
  <w15:docId w15:val="{5572DCB1-D64B-43CD-BE5F-843E1B97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qFormat/>
    <w:rPr>
      <w:color w:val="0000FF"/>
      <w:u w:val="single"/>
    </w:rPr>
  </w:style>
  <w:style w:type="character" w:customStyle="1" w:styleId="font11">
    <w:name w:val="font11"/>
    <w:basedOn w:val="a0"/>
    <w:qFormat/>
    <w:rPr>
      <w:rFonts w:ascii="宋体" w:eastAsia="宋体" w:hAnsi="宋体" w:cs="宋体"/>
      <w:color w:val="000000"/>
      <w:sz w:val="18"/>
      <w:szCs w:val="18"/>
      <w:u w:val="none"/>
    </w:rPr>
  </w:style>
  <w:style w:type="character" w:customStyle="1" w:styleId="Internet0">
    <w:name w:val="访问过的 Internet 链接"/>
    <w:qFormat/>
    <w:rPr>
      <w:color w:val="800000"/>
      <w:u w:val="single"/>
      <w:lang w:val="zh-CN" w:eastAsia="zh-CN" w:bidi="zh-CN"/>
    </w:rPr>
  </w:style>
  <w:style w:type="character" w:customStyle="1" w:styleId="a3">
    <w:name w:val="编号符号"/>
    <w:qFormat/>
  </w:style>
  <w:style w:type="paragraph" w:customStyle="1" w:styleId="a4">
    <w:name w:val="标题样式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5">
    <w:name w:val="Body Text"/>
    <w:basedOn w:val="a"/>
    <w:qFormat/>
    <w:pPr>
      <w:spacing w:after="140" w:line="276" w:lineRule="auto"/>
    </w:pPr>
  </w:style>
  <w:style w:type="paragraph" w:styleId="a6">
    <w:name w:val="List"/>
    <w:basedOn w:val="a5"/>
    <w:qFormat/>
    <w:rPr>
      <w:rFonts w:cs="Noto Sans CJK SC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CJK SC"/>
      <w:i/>
      <w:iCs/>
      <w:sz w:val="24"/>
    </w:rPr>
  </w:style>
  <w:style w:type="paragraph" w:customStyle="1" w:styleId="a8">
    <w:name w:val="索引"/>
    <w:basedOn w:val="a"/>
    <w:qFormat/>
    <w:pPr>
      <w:suppressLineNumbers/>
    </w:pPr>
    <w:rPr>
      <w:rFonts w:cs="Noto Sans CJK SC"/>
    </w:rPr>
  </w:style>
  <w:style w:type="paragraph" w:styleId="a9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List Paragraph"/>
    <w:basedOn w:val="a"/>
    <w:autoRedefine/>
    <w:uiPriority w:val="99"/>
    <w:unhideWhenUsed/>
    <w:qFormat/>
    <w:pPr>
      <w:ind w:firstLine="420"/>
    </w:pPr>
  </w:style>
  <w:style w:type="paragraph" w:customStyle="1" w:styleId="ab">
    <w:name w:val="框架内容"/>
    <w:basedOn w:val="a"/>
    <w:qFormat/>
  </w:style>
  <w:style w:type="paragraph" w:customStyle="1" w:styleId="ac">
    <w:name w:val="表格内容"/>
    <w:basedOn w:val="a"/>
    <w:qFormat/>
    <w:pPr>
      <w:suppressLineNumbers/>
    </w:pPr>
  </w:style>
  <w:style w:type="paragraph" w:customStyle="1" w:styleId="ad">
    <w:name w:val="表格标题"/>
    <w:basedOn w:val="ac"/>
    <w:qFormat/>
    <w:pPr>
      <w:jc w:val="center"/>
    </w:pPr>
    <w:rPr>
      <w:b/>
      <w:bCs/>
    </w:rPr>
  </w:style>
  <w:style w:type="paragraph" w:styleId="ae">
    <w:name w:val="header"/>
    <w:basedOn w:val="a"/>
    <w:link w:val="af"/>
    <w:rsid w:val="002C2E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rsid w:val="002C2EA6"/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paragraph" w:styleId="af0">
    <w:name w:val="footer"/>
    <w:basedOn w:val="a"/>
    <w:link w:val="af1"/>
    <w:rsid w:val="002C2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rsid w:val="002C2EA6"/>
    <w:rPr>
      <w:rFonts w:asciiTheme="minorHAnsi" w:eastAsiaTheme="minorEastAsia" w:hAnsiTheme="minorHAnsi" w:cstheme="minorBidi"/>
      <w:kern w:val="2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248</Words>
  <Characters>2272</Characters>
  <Application>Microsoft Office Word</Application>
  <DocSecurity>0</DocSecurity>
  <Lines>151</Lines>
  <Paragraphs>132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哆啦不懂a梦</dc:creator>
  <dc:description/>
  <cp:lastModifiedBy>南风 王</cp:lastModifiedBy>
  <cp:revision>2</cp:revision>
  <dcterms:created xsi:type="dcterms:W3CDTF">2025-10-29T05:57:00Z</dcterms:created>
  <dcterms:modified xsi:type="dcterms:W3CDTF">2025-10-29T05:57:00Z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58A10CAD877843D0AA773CB77229DB1E_13</vt:lpwstr>
  </property>
  <property fmtid="{D5CDD505-2E9C-101B-9397-08002B2CF9AE}" pid="4" name="KSOProductBuildVer">
    <vt:lpwstr>2052-12.1.0.18608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