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08 giờ 30 phút, ngày 26/06/2021.</w:t>
      </w:r>
      <w:r w:rsidDel="00000000" w:rsidR="00000000" w:rsidRPr="00000000">
        <w:rPr>
          <w:rtl w:val="0"/>
        </w:rPr>
      </w:r>
    </w:p>
    <w:p w:rsidR="00000000" w:rsidDel="00000000" w:rsidP="00000000" w:rsidRDefault="00000000" w:rsidRPr="00000000" w14:paraId="00000013">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THÙY LÊ (</w:t>
      </w:r>
      <w:r w:rsidDel="00000000" w:rsidR="00000000" w:rsidRPr="00000000">
        <w:rPr>
          <w:rFonts w:ascii="Times New Roman" w:cs="Times New Roman" w:eastAsia="Times New Roman" w:hAnsi="Times New Roman"/>
          <w:b w:val="1"/>
          <w:sz w:val="26"/>
          <w:szCs w:val="26"/>
          <w:highlight w:val="yellow"/>
          <w:rtl w:val="0"/>
        </w:rPr>
        <w:t xml:space="preserve">BN00000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Nữ, sinh năm 1995,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8"/>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w:t>
      </w:r>
      <w:r w:rsidDel="00000000" w:rsidR="00000000" w:rsidRPr="00000000">
        <w:rPr>
          <w:rFonts w:ascii="Times New Roman" w:cs="Times New Roman" w:eastAsia="Times New Roman" w:hAnsi="Times New Roman"/>
          <w:sz w:val="26"/>
          <w:szCs w:val="26"/>
          <w:highlight w:val="yellow"/>
          <w:rtl w:val="0"/>
        </w:rPr>
        <w:t xml:space="preserve">CMND/CCCD: Không ghi nhận.</w:t>
      </w:r>
      <w:r w:rsidDel="00000000" w:rsidR="00000000" w:rsidRPr="00000000">
        <w:rPr>
          <w:rtl w:val="0"/>
        </w:rPr>
      </w:r>
    </w:p>
    <w:p w:rsidR="00000000" w:rsidDel="00000000" w:rsidP="00000000" w:rsidRDefault="00000000" w:rsidRPr="00000000" w14:paraId="00000015">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766/57 Cách Mạng Tháng Tám, phường 5, quận Tân Bình, thành phố Hồ Chí Minh.</w:t>
      </w:r>
    </w:p>
    <w:p w:rsidR="00000000" w:rsidDel="00000000" w:rsidP="00000000" w:rsidRDefault="00000000" w:rsidRPr="00000000" w14:paraId="00000016">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Nhân viên phòng kinh doanh.</w:t>
      </w:r>
    </w:p>
    <w:p w:rsidR="00000000" w:rsidDel="00000000" w:rsidP="00000000" w:rsidRDefault="00000000" w:rsidRPr="00000000" w14:paraId="00000017">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Cổ phần Trang thiết bị Y tế Trọng Minh  - 87 Đỗ Ngọc Thạnh, phường 15, quận 5, Thành phố Hồ Chí Minh.</w:t>
      </w:r>
      <w:r w:rsidDel="00000000" w:rsidR="00000000" w:rsidRPr="00000000">
        <w:rPr>
          <w:rtl w:val="0"/>
        </w:rPr>
      </w:r>
    </w:p>
    <w:p w:rsidR="00000000" w:rsidDel="00000000" w:rsidP="00000000" w:rsidRDefault="00000000" w:rsidRPr="00000000" w14:paraId="00000018">
      <w:pPr>
        <w:numPr>
          <w:ilvl w:val="0"/>
          <w:numId w:val="8"/>
        </w:numPr>
        <w:spacing w:after="0" w:line="360" w:lineRule="auto"/>
        <w:ind w:left="720" w:hanging="360"/>
        <w:jc w:val="both"/>
        <w:rPr>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Số điện thoại: Không ghi nhận.</w:t>
      </w:r>
      <w:r w:rsidDel="00000000" w:rsidR="00000000" w:rsidRPr="00000000">
        <w:rPr>
          <w:rtl w:val="0"/>
        </w:rPr>
      </w:r>
    </w:p>
    <w:p w:rsidR="00000000" w:rsidDel="00000000" w:rsidP="00000000" w:rsidRDefault="00000000" w:rsidRPr="00000000" w14:paraId="00000019">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là F1 của Hoàng Gia (phát hiện dương tính ngày 22/6), tiếp xúc ngày 10/6 và 14/6. </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03 ngày 25/06/2021 tại khu cách ly và cho kết quả dương tính với SARS-CoV-2 ngày 26/06/2021.</w:t>
      </w: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tjzmtsmmd09f" w:id="2"/>
      <w:bookmarkEnd w:id="2"/>
      <w:r w:rsidDel="00000000" w:rsidR="00000000" w:rsidRPr="00000000">
        <w:rPr>
          <w:rFonts w:ascii="Times New Roman" w:cs="Times New Roman" w:eastAsia="Times New Roman" w:hAnsi="Times New Roman"/>
          <w:sz w:val="26"/>
          <w:szCs w:val="26"/>
          <w:rtl w:val="0"/>
        </w:rPr>
        <w:t xml:space="preserve">BN cư trú tại nhà trọ 766/57 Cách Mạng Tháng Tám, phường 5, quận Tân Bình, thành phố Hồ Chí Minh. BN sống cùng phòng với một người khác. Khu trọ có có 4 lầu gồm 9 phòng ở, tầng BN ở có 4 phòng. Hành lang, cầu thang bộ chật hẹp, rộng khoảng 1m. Sân thượng có khu vực giặt phơi quần áo chung. Tầng gửi xe của nhà trọ thông với tầng gửi xe của nhà trọ 766/59 Cách Mạng Tháng Tám, phường 5, quận Tân Bình. Bạn cùng phòng với BN là: Nguyễn Thị Ngọc Hiền, 1993, 0397150009, ngày tiếp xúc cuối là 22/06/2021.</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p3q8fjbhfgpz" w:id="3"/>
      <w:bookmarkEnd w:id="3"/>
      <w:r w:rsidDel="00000000" w:rsidR="00000000" w:rsidRPr="00000000">
        <w:rPr>
          <w:rFonts w:ascii="Times New Roman" w:cs="Times New Roman" w:eastAsia="Times New Roman" w:hAnsi="Times New Roman"/>
          <w:sz w:val="26"/>
          <w:szCs w:val="26"/>
          <w:rtl w:val="0"/>
        </w:rPr>
        <w:t xml:space="preserve">BN là nhân viên kinh doanh tại công ty Cổ phần Trang thiết bị Y tế Trọng Minh, địa chỉ: 87 Đỗ Ngọc Thạnh, phường 15, quận 5, Thành phố Hồ Chí Minh.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mr93wp21pr1x" w:id="4"/>
      <w:bookmarkEnd w:id="4"/>
      <w:r w:rsidDel="00000000" w:rsidR="00000000" w:rsidRPr="00000000">
        <w:rPr>
          <w:rFonts w:ascii="Times New Roman" w:cs="Times New Roman" w:eastAsia="Times New Roman" w:hAnsi="Times New Roman"/>
          <w:sz w:val="26"/>
          <w:szCs w:val="26"/>
          <w:rtl w:val="0"/>
        </w:rPr>
        <w:t xml:space="preserve">BN là F1 của BN Hoàng Gia (phát hiện dương tính ngày 22/6), tiếp xúc ngày 10/06 và 14/06/2021.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go07m2obqk5r" w:id="5"/>
      <w:bookmarkEnd w:id="5"/>
      <w:r w:rsidDel="00000000" w:rsidR="00000000" w:rsidRPr="00000000">
        <w:rPr>
          <w:rFonts w:ascii="Times New Roman" w:cs="Times New Roman" w:eastAsia="Times New Roman" w:hAnsi="Times New Roman"/>
          <w:sz w:val="26"/>
          <w:szCs w:val="26"/>
          <w:rtl w:val="0"/>
        </w:rPr>
        <w:t xml:space="preserve">Ngày 14 - 15/06/2021, BN đi làm rồi về phòng, không tiếp xúc với các phòng khác, không để xe sang khu vực xe của nhà trọ 766/59 Cách Mạng Tháng Tám, phường 5, quận Tân Bình, thành phố Hồ Chí Minh.</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e8zui8iolvz5" w:id="6"/>
      <w:bookmarkEnd w:id="6"/>
      <w:r w:rsidDel="00000000" w:rsidR="00000000" w:rsidRPr="00000000">
        <w:rPr>
          <w:rFonts w:ascii="Times New Roman" w:cs="Times New Roman" w:eastAsia="Times New Roman" w:hAnsi="Times New Roman"/>
          <w:sz w:val="26"/>
          <w:szCs w:val="26"/>
          <w:rtl w:val="0"/>
        </w:rPr>
        <w:t xml:space="preserve">Ngày 16/06/2021, sau khi nhận được tin mình là F2 của Hoàng Gia, bệnh nhân liên hệ trạm y tế phường 5 khai báo và được hướng dẫn cách ly tại nhà.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nlv1es44cdih" w:id="7"/>
      <w:bookmarkEnd w:id="7"/>
      <w:r w:rsidDel="00000000" w:rsidR="00000000" w:rsidRPr="00000000">
        <w:rPr>
          <w:rFonts w:ascii="Times New Roman" w:cs="Times New Roman" w:eastAsia="Times New Roman" w:hAnsi="Times New Roman"/>
          <w:sz w:val="26"/>
          <w:szCs w:val="26"/>
          <w:rtl w:val="0"/>
        </w:rPr>
        <w:t xml:space="preserve">Từ ngày 16 - 22/06/2021, BN chỉ ở phòng, khi ra ngoài nhận đồ ăn có mang khẩu trang.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a8ht5uww51op" w:id="8"/>
      <w:bookmarkEnd w:id="8"/>
      <w:r w:rsidDel="00000000" w:rsidR="00000000" w:rsidRPr="00000000">
        <w:rPr>
          <w:rFonts w:ascii="Times New Roman" w:cs="Times New Roman" w:eastAsia="Times New Roman" w:hAnsi="Times New Roman"/>
          <w:sz w:val="26"/>
          <w:szCs w:val="26"/>
          <w:rtl w:val="0"/>
        </w:rPr>
        <w:t xml:space="preserve">Ngày 23/06/2021, BN Hoàng Gia có kết quả dương tính, 24/06/2021, BN Thùy Lê được chuyển đi cách ly tập trung tại Khu cách ly tập trung quận Tân Bình.</w:t>
      </w:r>
    </w:p>
    <w:p w:rsidR="00000000" w:rsidDel="00000000" w:rsidP="00000000" w:rsidRDefault="00000000" w:rsidRPr="00000000" w14:paraId="00000024">
      <w:pPr>
        <w:numPr>
          <w:ilvl w:val="0"/>
          <w:numId w:val="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03 lần: </w:t>
      </w:r>
      <w:r w:rsidDel="00000000" w:rsidR="00000000" w:rsidRPr="00000000">
        <w:rPr>
          <w:rtl w:val="0"/>
        </w:rPr>
      </w:r>
    </w:p>
    <w:p w:rsidR="00000000" w:rsidDel="00000000" w:rsidP="00000000" w:rsidRDefault="00000000" w:rsidRPr="00000000" w14:paraId="00000025">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01: ngày 17/06/2021, BN được lấy mẫu xét nghiệm, kết quả Âm tính.</w:t>
      </w:r>
    </w:p>
    <w:p w:rsidR="00000000" w:rsidDel="00000000" w:rsidP="00000000" w:rsidRDefault="00000000" w:rsidRPr="00000000" w14:paraId="00000026">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02: ngày 23/06/2021, BN được lấy mẫu xét nghiệm, kết quả Âm tính.</w:t>
      </w:r>
    </w:p>
    <w:p w:rsidR="00000000" w:rsidDel="00000000" w:rsidP="00000000" w:rsidRDefault="00000000" w:rsidRPr="00000000" w14:paraId="00000027">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03: ngày 25/06/2021, BN được lấy mẫu xét nghiệm tại KCLTT và có kết quả dương tính với SARS-CoV-2.</w:t>
      </w:r>
      <w:r w:rsidDel="00000000" w:rsidR="00000000" w:rsidRPr="00000000">
        <w:rPr>
          <w:rtl w:val="0"/>
        </w:rPr>
      </w:r>
    </w:p>
    <w:p w:rsidR="00000000" w:rsidDel="00000000" w:rsidP="00000000" w:rsidRDefault="00000000" w:rsidRPr="00000000" w14:paraId="00000028">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không ghi nhận bất cứ triệu chứng bất thường.</w:t>
      </w:r>
      <w:r w:rsidDel="00000000" w:rsidR="00000000" w:rsidRPr="00000000">
        <w:rPr>
          <w:rtl w:val="0"/>
        </w:rPr>
      </w:r>
    </w:p>
    <w:p w:rsidR="00000000" w:rsidDel="00000000" w:rsidP="00000000" w:rsidRDefault="00000000" w:rsidRPr="00000000" w14:paraId="00000029">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A">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kncoAEbhMf50xS/HBTnyuWbBQ==">AMUW2mW4Jqxhv3oGbAldgbdCUtMJ/zkpbykqm3utNvlXt3lraYIHIRhh+q+ejlGtoPzr8E+/58SwDErmRb5L0/+dZc+qFbTdsuJLxT3TybGkBXcY91nVnnlV7q+Muq0goAUzgvFBuivehG64rSE4jMHzV80WDQRpOgMqRVjFdWHfpMCeESqJ+uDYXB/FfYRSNif7QBm3sJTS7JYwawGyhbnIBbCRe4FVNibHS3eFYNpQyuzAiFapvYfyknebmNEbNTFHYTaYsEYAFRAhfJ4TPC7sWXfETYBjzNLJTMM678ToldAjyphO+7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