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ỊNH NGỌC KIM TRÂM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am, Chứng minh nhân dân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0906823892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 Bùi Xuân Phái, phường Tây Thạnh, quận Tân Phú,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làm việc: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09/06/2021 (mẫu đơn) theo diện tiếp xúc gần với BN_Trịnh Ngọc Sang, kết quả: âm tính. BN được chuyển đến khu cách ly tại Ký túc xá Đại học Công Thương, được lấy mẫu xét nghiệm lần 2 ngày 09/06/2021 (mẫu đơn), kết quả âm tính; lấy mẫu xét nghiệm lần 3 ngày 14/06/2021, kết quả âm tính; lấy mẫu xét nghiệm lần 4 ngày 23/06/2021 và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09/06/2021, BN lấy mẫu xét nghiệm lần 1 tại Trung tâm y tế quận Tân Phú. Sau đó, BN được chuyển đến cách ly tại Ký túc xá Đại học Công Thương, lấy mẫu lần 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14/06/2021, BN lấy mẫu lần 4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(NTT, Nhóm 2 – 8b)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LOo8yWC/z5m4hd7Xow8jMGvMA==">AMUW2mVVRnud/7QqgLtImxSr+VWRvpnQZYfRpgvJKQsrvUeEKjc0SPeyfRkUVwziOe5ivLV9WFRRMXJjAxtUGOwG9mqohw9Z7SeKDxF3klgmGIgdgeJipuiZqqZklz4Gn+w+KErYY/eu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