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0000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03/07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THÁI QUY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(BN0000), nam, sinh năm 199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yellow"/>
          <w:u w:val="none"/>
          <w:vertAlign w:val="baseline"/>
          <w:rtl w:val="0"/>
        </w:rPr>
        <w:t xml:space="preserve">Chứng minh nhân dân: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32D Hùng Vương, Phường 9, Quận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b w:val="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được lấy mẫu xét nghiệm lần 1 ngày 26/06/2021 theo diện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tầm soát tại khu vực phong tỏa thuộc tổ 56 khu phố 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 và có kết quả XN dương tính với SARS-CoV-2 vào ngày 27/06/2021.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ĐÁNH THEO BÁO BÁO NHANH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Làm việc tại Koi The’ số 266D Nguyễn Tri Phương P4 Q10 (Full Time)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Sau giờ làm thì về nhà không ra ngoài sau giờ làm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6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Gửi xe ở bãi xe 91 Nguyễn Duy Dương</w:t>
      </w:r>
      <w:r w:rsidDel="00000000" w:rsidR="00000000" w:rsidRPr="00000000">
        <w:rPr>
          <w:rtl w:val="0"/>
        </w:rPr>
      </w:r>
    </w:p>
    <w:tbl>
      <w:tblPr>
        <w:tblStyle w:val="Table2"/>
        <w:tblW w:w="27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20"/>
        <w:tblGridChange w:id="0">
          <w:tblGrid>
            <w:gridCol w:w="272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highlight w:val="white"/>
          <w:u w:val="none"/>
          <w:vertAlign w:val="baseline"/>
          <w:rtl w:val="0"/>
        </w:rPr>
        <w:t xml:space="preserve">Tiền sử bệnh nền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3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3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4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66C+7elmWU4S3/d8g04XLomNgw==">AMUW2mWDus6uIzYYZPOTh1pThhFldPRx7ZRwXILfDeZVRh2cEdeoUvu4Hp/rZ83w3lBrk1736s6Zajlz5fK0XkiSFoeQA6B+PK9SVLBaPT4m3Mi4R+BSSk6v/By2yINRsNqu3Tsgom6e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