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TRẦN THỊ ÚT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nữ, sinh năm </w:t>
      </w:r>
      <w:r w:rsidDel="00000000" w:rsidR="00000000" w:rsidRPr="00000000">
        <w:rPr>
          <w:rFonts w:ascii="Times New Roman" w:cs="Times New Roman" w:eastAsia="Times New Roman" w:hAnsi="Times New Roman"/>
          <w:sz w:val="26"/>
          <w:szCs w:val="26"/>
          <w:rtl w:val="0"/>
        </w:rPr>
        <w:t xml:space="preserve">1975</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320870846.</w:t>
      </w: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Số 9 đường Võ Trứ, phường 9, quận 8 (từ giữa tháng 5 đến nay không về nhà)</w:t>
      </w: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Được thuê để chăm bệnh cho Hoàng Thị Ngọc Bích, tại giường 39, phòng 18, lầu 3, khoa B4, khu B, Bệnh viện Phạm Ngọc Thạch</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0815007781</w:t>
      </w:r>
      <w:r w:rsidDel="00000000" w:rsidR="00000000" w:rsidRPr="00000000">
        <w:rPr>
          <w:rtl w:val="0"/>
        </w:rPr>
      </w:r>
    </w:p>
    <w:p w:rsidR="00000000" w:rsidDel="00000000" w:rsidP="00000000" w:rsidRDefault="00000000" w:rsidRPr="00000000" w14:paraId="00000016">
      <w:pPr>
        <w:numPr>
          <w:ilvl w:val="0"/>
          <w:numId w:val="6"/>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cuối ngày 28/06/2021 (mẫu đơn) theo diện tầm soát toàn khoa phòng có ca nhiễm COVID 19 tại Bệnh viện Phạm Ngọc Thạch và có kết quả xét nghiệm dương tính với SARS-CoV-2.</w:t>
      </w:r>
    </w:p>
    <w:p w:rsidR="00000000" w:rsidDel="00000000" w:rsidP="00000000" w:rsidRDefault="00000000" w:rsidRPr="00000000" w14:paraId="00000017">
      <w:pPr>
        <w:spacing w:after="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14/05/2021 đến ngày 28/06/2021, BN ở tại Bệnh viện Phạm Ngọc Thạch </w:t>
      </w:r>
      <w:r w:rsidDel="00000000" w:rsidR="00000000" w:rsidRPr="00000000">
        <w:rPr>
          <w:rFonts w:ascii="Times New Roman" w:cs="Times New Roman" w:eastAsia="Times New Roman" w:hAnsi="Times New Roman"/>
          <w:color w:val="222222"/>
          <w:sz w:val="26"/>
          <w:szCs w:val="26"/>
          <w:highlight w:val="white"/>
          <w:rtl w:val="0"/>
        </w:rPr>
        <w:t xml:space="preserve">120 Hồng Bàng, Phường 12, Quận 5 để chăm sóc người bệnh Hoàng Thị Ngọc Bích. BN khai trong khoảng thời gian này BN chỉ sinh hoạt tại bệnh viện, không về nhà.</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Lịch trình hàng ngày: BN thường mua đồ ăn tại căn tin bệnh viện. 16h hàng ngày, BN đến bàn tại cổng bệnh viện để nhận đồ ăn người nhà người bệnh Ngọc Bích gửi vào.</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Từ ngày 20/06 đến 26/06/2021, BN có tiếp xúc với BN_Mai Thị Hà (BN không nhớ ngày, lúc tiếp xúc có mang khẩu trang)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28/06/2021, BN được lấy mẫu xét nghiệm. </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29/06/2021, BN có triệu chứng ho, đắng miệng. BN được chuyển đến điều trị tại lầu 2, khu vực điều trị COVID 3, Bệnh viện Phạm Ngọc Thạch.</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khoẻ hiện tại: ho, đắng miệng, ngoài ra chưa ghi nhận triệu chứng khác.</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có. </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khu vực điều trị COVID 3 bệnh viện Phạm Ngọc Thạch.</w:t>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NHÓM TRỰC 3</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LHWfrTsU/bFmegM3OcDRkgUg2g==">AMUW2mVTbia9O7+aJYMpqyU66FxVuYm8xVydNTXMPnJwnme/6/LDJ/7Zh0H+ZnhhROJ9ggit2nk8v7wdktPvmqxOswJn9zaxeCuTcbj5etEba9wO+LMS8rvQ01nx1ubeXrCUe2mFMvFY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