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63500</wp:posOffset>
                      </wp:positionV>
                      <wp:extent cx="695325" cy="98425"/>
                      <wp:effectExtent b="0" l="0" r="0" t="0"/>
                      <wp:wrapNone/>
                      <wp:docPr id="1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5325" cy="984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1876425" cy="98425"/>
                      <wp:effectExtent b="0" l="0" r="0" t="0"/>
                      <wp:wrapNone/>
                      <wp:docPr id="1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76425" cy="984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03/07/2021.</w:t>
      </w:r>
      <w:r w:rsidDel="00000000" w:rsidR="00000000" w:rsidRPr="00000000">
        <w:rPr>
          <w:rtl w:val="0"/>
        </w:rPr>
      </w:r>
    </w:p>
    <w:p w:rsidR="00000000" w:rsidDel="00000000" w:rsidP="00000000" w:rsidRDefault="00000000" w:rsidRPr="00000000" w14:paraId="00000013">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NGỌC LÊ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Nữ, sinh năm 1992,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2"/>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079192005612.</w:t>
      </w:r>
      <w:r w:rsidDel="00000000" w:rsidR="00000000" w:rsidRPr="00000000">
        <w:rPr>
          <w:rtl w:val="0"/>
        </w:rPr>
      </w:r>
    </w:p>
    <w:p w:rsidR="00000000" w:rsidDel="00000000" w:rsidP="00000000" w:rsidRDefault="00000000" w:rsidRPr="00000000" w14:paraId="00000015">
      <w:pPr>
        <w:numPr>
          <w:ilvl w:val="0"/>
          <w:numId w:val="2"/>
        </w:numPr>
        <w:shd w:fill="ffffff" w:val="clear"/>
        <w:spacing w:after="0" w:line="360" w:lineRule="auto"/>
        <w:ind w:left="720" w:hanging="360"/>
        <w:jc w:val="both"/>
        <w:rPr>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161/1/84C Hoài Thanh, phường 14, quận 8, thành phố Hồ Chí Minh.</w:t>
      </w:r>
      <w:r w:rsidDel="00000000" w:rsidR="00000000" w:rsidRPr="00000000">
        <w:rPr>
          <w:rtl w:val="0"/>
        </w:rPr>
      </w:r>
    </w:p>
    <w:p w:rsidR="00000000" w:rsidDel="00000000" w:rsidP="00000000" w:rsidRDefault="00000000" w:rsidRPr="00000000" w14:paraId="00000016">
      <w:pPr>
        <w:numPr>
          <w:ilvl w:val="0"/>
          <w:numId w:val="2"/>
        </w:numPr>
        <w:shd w:fill="ffffff" w:val="clear"/>
        <w:spacing w:after="0" w:line="360" w:lineRule="auto"/>
        <w:ind w:left="720" w:hanging="360"/>
        <w:jc w:val="both"/>
        <w:rPr>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Chạy quảng cáo trên facebook, làm việc online tại nhà.</w:t>
      </w:r>
      <w:r w:rsidDel="00000000" w:rsidR="00000000" w:rsidRPr="00000000">
        <w:rPr>
          <w:rtl w:val="0"/>
        </w:rPr>
      </w:r>
    </w:p>
    <w:p w:rsidR="00000000" w:rsidDel="00000000" w:rsidP="00000000" w:rsidRDefault="00000000" w:rsidRPr="00000000" w14:paraId="00000017">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0358.597.985.</w:t>
      </w:r>
      <w:r w:rsidDel="00000000" w:rsidR="00000000" w:rsidRPr="00000000">
        <w:rPr>
          <w:rtl w:val="0"/>
        </w:rPr>
      </w:r>
    </w:p>
    <w:p w:rsidR="00000000" w:rsidDel="00000000" w:rsidP="00000000" w:rsidRDefault="00000000" w:rsidRPr="00000000" w14:paraId="00000018">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9">
      <w:pPr>
        <w:numPr>
          <w:ilvl w:val="0"/>
          <w:numId w:val="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liên quan đến F0 Trương Thị Kim Hoa, là chồng, sống chung nhà với BN Trương Thị Kim Hoa.</w:t>
      </w:r>
      <w:r w:rsidDel="00000000" w:rsidR="00000000" w:rsidRPr="00000000">
        <w:rPr>
          <w:rtl w:val="0"/>
        </w:rPr>
      </w:r>
    </w:p>
    <w:p w:rsidR="00000000" w:rsidDel="00000000" w:rsidP="00000000" w:rsidRDefault="00000000" w:rsidRPr="00000000" w14:paraId="0000001A">
      <w:pPr>
        <w:numPr>
          <w:ilvl w:val="0"/>
          <w:numId w:val="2"/>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02 ngày 01/07/2021 tại phường 14 quận 8 do thuộc diện F1 của F0 Trương Thị Kim Hoa và có kết quả dương tính với SARS-CoV-2.</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2"/>
        </w:numPr>
        <w:shd w:fill="ffffff" w:val="clear"/>
        <w:spacing w:after="0" w:line="360" w:lineRule="auto"/>
        <w:ind w:left="720" w:hanging="360"/>
        <w:jc w:val="both"/>
        <w:rPr>
          <w:sz w:val="26"/>
          <w:szCs w:val="26"/>
        </w:rPr>
      </w:pPr>
      <w:bookmarkStart w:colFirst="0" w:colLast="0" w:name="_heading=h.xg9poibsyfsv" w:id="2"/>
      <w:bookmarkEnd w:id="2"/>
      <w:r w:rsidDel="00000000" w:rsidR="00000000" w:rsidRPr="00000000">
        <w:rPr>
          <w:rFonts w:ascii="Times New Roman" w:cs="Times New Roman" w:eastAsia="Times New Roman" w:hAnsi="Times New Roman"/>
          <w:sz w:val="26"/>
          <w:szCs w:val="26"/>
          <w:rtl w:val="0"/>
        </w:rPr>
        <w:t xml:space="preserve">BN sống tại địa chỉ 161/1/84C Hoài Thanh, phường 14, quận 8, thành phố Hồ Chí Minh chung với 5 người khác (cả 6 người trong gia đình đều phát hiện dương tính cùng ngày):</w:t>
      </w:r>
      <w:r w:rsidDel="00000000" w:rsidR="00000000" w:rsidRPr="00000000">
        <w:rPr>
          <w:rtl w:val="0"/>
        </w:rPr>
      </w:r>
    </w:p>
    <w:p w:rsidR="00000000" w:rsidDel="00000000" w:rsidP="00000000" w:rsidRDefault="00000000" w:rsidRPr="00000000" w14:paraId="0000001D">
      <w:pPr>
        <w:numPr>
          <w:ilvl w:val="0"/>
          <w:numId w:val="3"/>
        </w:numP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mq6ium37j947" w:id="3"/>
      <w:bookmarkEnd w:id="3"/>
      <w:r w:rsidDel="00000000" w:rsidR="00000000" w:rsidRPr="00000000">
        <w:rPr>
          <w:rFonts w:ascii="Times New Roman" w:cs="Times New Roman" w:eastAsia="Times New Roman" w:hAnsi="Times New Roman"/>
          <w:sz w:val="26"/>
          <w:szCs w:val="26"/>
          <w:rtl w:val="0"/>
        </w:rPr>
        <w:t xml:space="preserve">Mẹ, Trương Thị Kim Hoa, 1972.</w:t>
      </w:r>
      <w:r w:rsidDel="00000000" w:rsidR="00000000" w:rsidRPr="00000000">
        <w:rPr>
          <w:rtl w:val="0"/>
        </w:rPr>
      </w:r>
    </w:p>
    <w:p w:rsidR="00000000" w:rsidDel="00000000" w:rsidP="00000000" w:rsidRDefault="00000000" w:rsidRPr="00000000" w14:paraId="0000001E">
      <w:pPr>
        <w:numPr>
          <w:ilvl w:val="0"/>
          <w:numId w:val="3"/>
        </w:numP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4w57hfgjw11s" w:id="4"/>
      <w:bookmarkEnd w:id="4"/>
      <w:r w:rsidDel="00000000" w:rsidR="00000000" w:rsidRPr="00000000">
        <w:rPr>
          <w:rFonts w:ascii="Times New Roman" w:cs="Times New Roman" w:eastAsia="Times New Roman" w:hAnsi="Times New Roman"/>
          <w:sz w:val="26"/>
          <w:szCs w:val="26"/>
          <w:rtl w:val="0"/>
        </w:rPr>
        <w:t xml:space="preserve">Ba, Nguyễn Ngọc Lê, 1992, 0903.315.881.</w:t>
      </w:r>
      <w:r w:rsidDel="00000000" w:rsidR="00000000" w:rsidRPr="00000000">
        <w:rPr>
          <w:rtl w:val="0"/>
        </w:rPr>
      </w:r>
    </w:p>
    <w:p w:rsidR="00000000" w:rsidDel="00000000" w:rsidP="00000000" w:rsidRDefault="00000000" w:rsidRPr="00000000" w14:paraId="0000001F">
      <w:pPr>
        <w:numPr>
          <w:ilvl w:val="0"/>
          <w:numId w:val="3"/>
        </w:numP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7sh7qvcr6ve0" w:id="5"/>
      <w:bookmarkEnd w:id="5"/>
      <w:r w:rsidDel="00000000" w:rsidR="00000000" w:rsidRPr="00000000">
        <w:rPr>
          <w:rFonts w:ascii="Times New Roman" w:cs="Times New Roman" w:eastAsia="Times New Roman" w:hAnsi="Times New Roman"/>
          <w:sz w:val="26"/>
          <w:szCs w:val="26"/>
          <w:rtl w:val="0"/>
        </w:rPr>
        <w:t xml:space="preserve">Em trai, Nguyễn Minh Kiệt, 1995, 0906.269.457.</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xsd20suc4qh" w:id="6"/>
      <w:bookmarkEnd w:id="6"/>
      <w:r w:rsidDel="00000000" w:rsidR="00000000" w:rsidRPr="00000000">
        <w:rPr>
          <w:rFonts w:ascii="Times New Roman" w:cs="Times New Roman" w:eastAsia="Times New Roman" w:hAnsi="Times New Roman"/>
          <w:sz w:val="26"/>
          <w:szCs w:val="26"/>
          <w:rtl w:val="0"/>
        </w:rPr>
        <w:t xml:space="preserve">Em dâu, Trần Thị Tuyết Ngân, 1998, 0797.961.008.</w:t>
      </w:r>
      <w:r w:rsidDel="00000000" w:rsidR="00000000" w:rsidRPr="00000000">
        <w:rPr>
          <w:rtl w:val="0"/>
        </w:rPr>
      </w:r>
    </w:p>
    <w:p w:rsidR="00000000" w:rsidDel="00000000" w:rsidP="00000000" w:rsidRDefault="00000000" w:rsidRPr="00000000" w14:paraId="00000021">
      <w:pPr>
        <w:numPr>
          <w:ilvl w:val="0"/>
          <w:numId w:val="3"/>
        </w:numPr>
        <w:shd w:fill="ffffff" w:val="clear"/>
        <w:spacing w:after="0" w:line="360" w:lineRule="auto"/>
        <w:ind w:left="1440" w:hanging="360"/>
        <w:jc w:val="both"/>
        <w:rPr>
          <w:rFonts w:ascii="Times New Roman" w:cs="Times New Roman" w:eastAsia="Times New Roman" w:hAnsi="Times New Roman"/>
          <w:sz w:val="26"/>
          <w:szCs w:val="26"/>
          <w:u w:val="none"/>
        </w:rPr>
      </w:pPr>
      <w:bookmarkStart w:colFirst="0" w:colLast="0" w:name="_heading=h.lk2qy940zc3x" w:id="7"/>
      <w:bookmarkEnd w:id="7"/>
      <w:r w:rsidDel="00000000" w:rsidR="00000000" w:rsidRPr="00000000">
        <w:rPr>
          <w:rFonts w:ascii="Times New Roman" w:cs="Times New Roman" w:eastAsia="Times New Roman" w:hAnsi="Times New Roman"/>
          <w:sz w:val="26"/>
          <w:szCs w:val="26"/>
          <w:rtl w:val="0"/>
        </w:rPr>
        <w:t xml:space="preserve">Cháu, Nguyễn Minh Quang, 2019.</w:t>
      </w:r>
      <w:r w:rsidDel="00000000" w:rsidR="00000000" w:rsidRPr="00000000">
        <w:rPr>
          <w:rtl w:val="0"/>
        </w:rPr>
      </w:r>
    </w:p>
    <w:p w:rsidR="00000000" w:rsidDel="00000000" w:rsidP="00000000" w:rsidRDefault="00000000" w:rsidRPr="00000000" w14:paraId="00000022">
      <w:pPr>
        <w:numPr>
          <w:ilvl w:val="0"/>
          <w:numId w:val="2"/>
        </w:numP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qzrapjtss6lp" w:id="8"/>
      <w:bookmarkEnd w:id="8"/>
      <w:r w:rsidDel="00000000" w:rsidR="00000000" w:rsidRPr="00000000">
        <w:rPr>
          <w:rFonts w:ascii="Times New Roman" w:cs="Times New Roman" w:eastAsia="Times New Roman" w:hAnsi="Times New Roman"/>
          <w:sz w:val="26"/>
          <w:szCs w:val="26"/>
          <w:rtl w:val="0"/>
        </w:rPr>
        <w:t xml:space="preserve">BN làm công việc chạy quảng cáo trên Facebook, hầu hết thời gian làm việc online tại nhà. BN thường chỉ trong phòng riêng để  làm việc, ít tiếp xúc với cả người thân trong gia đình. Chỉ ra khỏi phòng để ăn các bữa.</w:t>
      </w:r>
    </w:p>
    <w:p w:rsidR="00000000" w:rsidDel="00000000" w:rsidP="00000000" w:rsidRDefault="00000000" w:rsidRPr="00000000" w14:paraId="00000023">
      <w:pPr>
        <w:numPr>
          <w:ilvl w:val="0"/>
          <w:numId w:val="2"/>
        </w:numP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5jy0may5xqaj" w:id="9"/>
      <w:bookmarkEnd w:id="9"/>
      <w:r w:rsidDel="00000000" w:rsidR="00000000" w:rsidRPr="00000000">
        <w:rPr>
          <w:rFonts w:ascii="Times New Roman" w:cs="Times New Roman" w:eastAsia="Times New Roman" w:hAnsi="Times New Roman"/>
          <w:sz w:val="26"/>
          <w:szCs w:val="26"/>
          <w:rtl w:val="0"/>
        </w:rPr>
        <w:t xml:space="preserve">BN hầu hết chỉ ở tại phòng riêng tại nhà, không đi đâu ra ngoài, không gặp ai, không tiếp xúc với ai khác ngoài người thân gia đình trong nhà. </w:t>
      </w:r>
    </w:p>
    <w:p w:rsidR="00000000" w:rsidDel="00000000" w:rsidP="00000000" w:rsidRDefault="00000000" w:rsidRPr="00000000" w14:paraId="00000024">
      <w:pPr>
        <w:numPr>
          <w:ilvl w:val="0"/>
          <w:numId w:val="2"/>
        </w:numP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gkaft9ft3q5t" w:id="10"/>
      <w:bookmarkEnd w:id="10"/>
      <w:r w:rsidDel="00000000" w:rsidR="00000000" w:rsidRPr="00000000">
        <w:rPr>
          <w:rFonts w:ascii="Times New Roman" w:cs="Times New Roman" w:eastAsia="Times New Roman" w:hAnsi="Times New Roman"/>
          <w:sz w:val="26"/>
          <w:szCs w:val="26"/>
          <w:rtl w:val="0"/>
        </w:rPr>
        <w:t xml:space="preserve">Trưa ngày 03/07/2021, BN và gia đình được đưa đến khu cách ly điều trị tại Trung tâm Giáo dục An ninh Quốc phòng, KTX khu A Đại học Quốc Gia. Tại đây, BN ở cùng phòng 312 với em trai Nguyễn Minh Kiệt và cha Nguyễn Văn Minh.</w:t>
      </w:r>
      <w:r w:rsidDel="00000000" w:rsidR="00000000" w:rsidRPr="00000000">
        <w:rPr>
          <w:rtl w:val="0"/>
        </w:rPr>
      </w:r>
    </w:p>
    <w:p w:rsidR="00000000" w:rsidDel="00000000" w:rsidP="00000000" w:rsidRDefault="00000000" w:rsidRPr="00000000" w14:paraId="00000025">
      <w:pPr>
        <w:numPr>
          <w:ilvl w:val="0"/>
          <w:numId w:val="6"/>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01 lần: </w:t>
      </w:r>
      <w:r w:rsidDel="00000000" w:rsidR="00000000" w:rsidRPr="00000000">
        <w:rPr>
          <w:rtl w:val="0"/>
        </w:rPr>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01: ngày 01/07/2021, BN lấy mẫu xét nghiệm tại Trạm Y Tế phường 14, quận 8 do thuộc diện F1 của BN Trương Thị Kim Hoa và có kết quả dương tính vào ngày 03/07/2021.</w:t>
      </w:r>
    </w:p>
    <w:p w:rsidR="00000000" w:rsidDel="00000000" w:rsidP="00000000" w:rsidRDefault="00000000" w:rsidRPr="00000000" w14:paraId="00000027">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ghi nhận các triệu chứng bất thường sau:</w:t>
      </w:r>
      <w:r w:rsidDel="00000000" w:rsidR="00000000" w:rsidRPr="00000000">
        <w:rPr>
          <w:rtl w:val="0"/>
        </w:rPr>
      </w:r>
    </w:p>
    <w:p w:rsidR="00000000" w:rsidDel="00000000" w:rsidP="00000000" w:rsidRDefault="00000000" w:rsidRPr="00000000" w14:paraId="00000028">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27/06/2021, BN có nóng sốt, tự mua thuốc uống thì hạ sốt.</w:t>
      </w:r>
    </w:p>
    <w:p w:rsidR="00000000" w:rsidDel="00000000" w:rsidP="00000000" w:rsidRDefault="00000000" w:rsidRPr="00000000" w14:paraId="00000029">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03/07/2021, BN bắt đầu ho nhiều, mệt mỏi tăng.</w:t>
      </w:r>
    </w:p>
    <w:p w:rsidR="00000000" w:rsidDel="00000000" w:rsidP="00000000" w:rsidRDefault="00000000" w:rsidRPr="00000000" w14:paraId="0000002A">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B">
      <w:pPr>
        <w:numPr>
          <w:ilvl w:val="0"/>
          <w:numId w:val="5"/>
        </w:numP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Trung tâm Giáo dục An ninh Quốc phòng, KTX khu A Đại học Quốc Gia.</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2">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4">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A">
            <w:pPr>
              <w:numPr>
                <w:ilvl w:val="0"/>
                <w:numId w:val="8"/>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B">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usXiQlru2ljzkdbsYABtxxCbQ==">AMUW2mUOWKP3HSSI+k9vKP7ZwHgXPGWCNA5E32K/ZhDgKIku9YkFqYDK6DJDpcLYMMx38KgpY6vFLmbp5gB+VIB6TeaXbtEX1Ek3rP4ED5SjEsaUCC8UqYdIriQIhVdDS8iJA+IYU8TOLxha1L0NnKJ58ZkvJEe/5aiTSuD7dOZ/gwwEGXZO7GRC1153D3wnApPShu3Vv5kN3MoswC93FhqVfJyp8sZSaq6H8qBmLHyCBjfk4n+nzEjOxBZmdKeFc26Uc7kkoJf7Q0Ncdw3xq5VahyxmfLl7we6SVsEZ/03gJwoIsRwH/liSlV79PHDeihmzQvQu1Kj+fIfHFfKuhO2chBPP7yL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