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101600</wp:posOffset>
                      </wp:positionV>
                      <wp:extent cx="666750" cy="69850"/>
                      <wp:effectExtent b="0" l="0" r="0" t="0"/>
                      <wp:wrapNone/>
                      <wp:docPr id="10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101600</wp:posOffset>
                      </wp:positionV>
                      <wp:extent cx="666750" cy="69850"/>
                      <wp:effectExtent b="0" l="0" r="0" t="0"/>
                      <wp:wrapNone/>
                      <wp:docPr id="10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6675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127000</wp:posOffset>
                      </wp:positionV>
                      <wp:extent cx="1847850" cy="69850"/>
                      <wp:effectExtent b="0" l="0" r="0" t="0"/>
                      <wp:wrapNone/>
                      <wp:docPr id="10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127000</wp:posOffset>
                      </wp:positionV>
                      <wp:extent cx="1847850" cy="69850"/>
                      <wp:effectExtent b="0" l="0" r="0" t="0"/>
                      <wp:wrapNone/>
                      <wp:docPr id="10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4785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03 tháng 07năm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số BN0000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lúc: 21 giờ 00 phút, ngày 29/06/2021.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LÊ KIM HUỆ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(BN0000)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Giới tính: Nữ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sinh năm 2000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quốc tịch: Việt Nam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CMND: 385759896     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SĐT: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0386221698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Tôn giáo: không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B3/29 Ấp 2 xã Tân Kiên, huyện Bình Chánh TP Hồ Chí Minh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CÔNG TY POUYUEN VIETNAM COMPANY LTD. Đơn vị DC12- Khu giày mẫu. Địa chỉ : 86Q QL1, Tân Tạo, Bình Tân, TP Hồ Chí Minh.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28/06/2021 phát hiện ca dương tính sau đó công ty cho làm xét nghiệm được kết quả âm tính nên vẫn cho về. Ngày 29/06 Công ty phong tỏa 2 ngày 1 đêm toàn bộ nhân viên.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mẫun 4 LẦN xét nghiệm: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+LẦN 1: CÔNG TY POUYUEN lúc 20h ngày 28 tháng 06 cho kết quả ÂM TÍNH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+LẦN 2 và 3 ( cách nhau 15 phút) : tại công ty lúc 19h ngày 29/06 kết quả dương tính cả 2 lần test nhanh.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+LẦN 4 :tại An Lạc và được Bộ Y tế báo lúc 15h ngày 30/06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</w:t>
      </w:r>
    </w:p>
    <w:p w:rsidR="00000000" w:rsidDel="00000000" w:rsidP="00000000" w:rsidRDefault="00000000" w:rsidRPr="00000000" w14:paraId="00000022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-BN CÓ DÙNG CHUNG NHÀ VỆ SINH VỚI CÁC F0. </w:t>
      </w:r>
    </w:p>
    <w:p w:rsidR="00000000" w:rsidDel="00000000" w:rsidP="00000000" w:rsidRDefault="00000000" w:rsidRPr="00000000" w14:paraId="00000023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-CÓ LÀM VIỆC CHUNG VỚI F0  LÀ NGUYỄN THỊ SỰ ( ĐÃ XUẤT HIỆN TRIỆU CHỨNG MỆT MỎI NGÀY 25/06, ĐẾN NGÀY 26/06 THÌ SỐT NÊN XIN NGHỈ CÓ KẾT QUẢ DƯƠNG TÍNH CÙNG NGÀY VỚI BỆNH NHÂN). TẠI KHU B MÀ BN LÀM VIỆC CÓ 2 CA F0 LÀ BN VÀ CÔ NGUYỄN THỊ SỰ.</w:t>
      </w:r>
    </w:p>
    <w:p w:rsidR="00000000" w:rsidDel="00000000" w:rsidP="00000000" w:rsidRDefault="00000000" w:rsidRPr="00000000" w14:paraId="00000024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-BN ĐƯỢC PHÁT CƠM TẠI ĐƠN VỊ.</w:t>
      </w:r>
    </w:p>
    <w:p w:rsidR="00000000" w:rsidDel="00000000" w:rsidP="00000000" w:rsidRDefault="00000000" w:rsidRPr="00000000" w14:paraId="00000025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BỆNH NHÂN ĐƯỢC ĐƯA ĐI CÁCH LY TẠI AN LẠC LÚC 20H NGÀY 29/06. SAU ĐÓ LÚC 21H NGÀY 01/07 ĐƯỢC CHUYỂN ĐẾN LOCKC3 KHU B, DĨ AN, BÌNH DƯƠNG. LÚC 15H NGÀY 03/07 BN ĐƯỢC CHUYỂN QUA KHU A, DĨ AN, BÌNH DƯƠNG.</w:t>
      </w:r>
    </w:p>
    <w:p w:rsidR="00000000" w:rsidDel="00000000" w:rsidP="00000000" w:rsidRDefault="00000000" w:rsidRPr="00000000" w14:paraId="00000026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-TRIỆU CHỨNG: SỐT TRÊN ĐƯỜNG ĐẾN AN LẠC, HIỆN TẠI CHỈ CÒN ĐAU HỌNG</w:t>
      </w:r>
    </w:p>
    <w:sdt>
      <w:sdtPr>
        <w:tag w:val="goog_rdk_0"/>
      </w:sdtPr>
      <w:sdtContent>
        <w:p w:rsidR="00000000" w:rsidDel="00000000" w:rsidP="00000000" w:rsidRDefault="00000000" w:rsidRPr="00000000" w14:paraId="00000027">
          <w:pPr>
            <w:spacing w:after="0" w:line="360" w:lineRule="auto"/>
            <w:ind w:left="720" w:firstLine="0"/>
            <w:jc w:val="both"/>
            <w:rPr>
              <w:rFonts w:ascii="Times New Roman" w:cs="Times New Roman" w:eastAsia="Times New Roman" w:hAnsi="Times New Roman"/>
              <w:b w:val="1"/>
              <w:sz w:val="26"/>
              <w:szCs w:val="2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6"/>
              <w:szCs w:val="26"/>
              <w:rtl w:val="0"/>
            </w:rPr>
            <w:t xml:space="preserve">TRƯỜNG HỢP F1:</w:t>
          </w:r>
        </w:p>
      </w:sdtContent>
    </w:sdt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Ở CHUNG VỚI ANH ( BÙI VĂN ĐEN 35 TUỔI) CHỊ ( LÊ HUYỀN TRÂN 27 TUỔI) VÀ CẢ HAI ĐỀU CÓ KẾT QUẢ ÂM TÍNH. ĐÃ ĐƯỢC ĐƯA ĐI CÁCH LY.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CÓ ĂN CHUNG VỚI CHỊ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THUẬN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LÀM CHUNG CÔNG TY.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CÓ GHÉ VÀO ĐẦU HẺM 42 ĐƯỜNG TRẦN ĐẠI NGHĨA MUA THỊT HEO KHÔNG NHỚ NGÀY MUA.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KHÔNG TIẾP XÚC VỚI NGƯỜI NÀO KHÁC CÁC TRƯỜNG HỢP TRÊN TỪ NGÀY 25/06 ĐẾN NAY.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 được cách ly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KHU A, DĨ AN, BÌNH DƯƠNG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0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1">
            <w:pP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B">
            <w:pPr>
              <w:numPr>
                <w:ilvl w:val="0"/>
                <w:numId w:val="6"/>
              </w:numP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Nhóm 03 – 8b)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NormalWeb">
    <w:name w:val="Normal (Web)"/>
    <w:qFormat w:val="1"/>
    <w:pPr>
      <w:spacing w:afterAutospacing="1" w:before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Grid">
    <w:name w:val="Table Grid"/>
    <w:basedOn w:val="TableNormal"/>
    <w:uiPriority w:val="59"/>
    <w:qFormat w:val="1"/>
    <w:rPr>
      <w:rFonts w:ascii="Arial" w:eastAsia="Arial" w:hAnsi="Arial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15" w:customStyle="1">
    <w:name w:val="_Style 15"/>
    <w:basedOn w:val="TableNormal1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Style16" w:customStyle="1">
    <w:name w:val="_Style 16"/>
    <w:basedOn w:val="TableNormal1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Style17" w:customStyle="1">
    <w:name w:val="_Style 17"/>
    <w:basedOn w:val="TableNormal1"/>
    <w:qFormat w:val="1"/>
    <w:tblPr>
      <w:tblCellMar>
        <w:top w:w="0.0" w:type="dxa"/>
        <w:left w:w="115.0" w:type="dxa"/>
        <w:bottom w:w="0.0" w:type="dxa"/>
        <w:right w:w="115.0" w:type="dxa"/>
      </w:tblCellMar>
    </w:tblPr>
  </w:style>
  <w:style w:type="character" w:styleId="grkhzd" w:customStyle="1">
    <w:name w:val="grkhzd"/>
    <w:basedOn w:val="DefaultParagraphFont"/>
  </w:style>
  <w:style w:type="character" w:styleId="lrzxr" w:customStyle="1">
    <w:name w:val="lrzxr"/>
    <w:basedOn w:val="DefaultParagraphFont"/>
    <w:qFormat w:val="1"/>
  </w:style>
  <w:style w:type="paragraph" w:styleId="Header">
    <w:name w:val="header"/>
    <w:basedOn w:val="Normal"/>
    <w:link w:val="Head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A61E73"/>
    <w:rPr>
      <w:rFonts w:ascii="Calibri" w:cs="Calibri" w:eastAsia="Calibri" w:hAnsi="Calibr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rsid w:val="00A61E73"/>
    <w:rPr>
      <w:rFonts w:ascii="Calibri" w:cs="Calibri" w:eastAsia="Calibri" w:hAnsi="Calibri"/>
      <w:sz w:val="22"/>
      <w:szCs w:val="22"/>
      <w:lang w:eastAsia="en-US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rPr>
      <w:rFonts w:ascii="Arial" w:cs="Arial" w:eastAsia="Arial" w:hAnsi="Arial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rPr>
      <w:rFonts w:ascii="Arial" w:cs="Arial" w:eastAsia="Arial" w:hAnsi="Arial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rPr>
      <w:rFonts w:ascii="Arial" w:cs="Arial" w:eastAsia="Arial" w:hAnsi="Arial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rPr>
      <w:rFonts w:ascii="Arial" w:cs="Arial" w:eastAsia="Arial" w:hAnsi="Arial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rPr>
      <w:rFonts w:ascii="Arial" w:cs="Arial" w:eastAsia="Arial" w:hAnsi="Arial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rPr>
      <w:rFonts w:ascii="Arial" w:cs="Arial" w:eastAsia="Arial" w:hAnsi="Arial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"/>
    <w:rPr>
      <w:rFonts w:ascii="Arial" w:cs="Arial" w:eastAsia="Arial" w:hAnsi="Arial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rPr>
      <w:rFonts w:ascii="Arial" w:cs="Arial" w:eastAsia="Arial" w:hAnsi="Arial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rPr>
      <w:rFonts w:ascii="Arial" w:cs="Arial" w:eastAsia="Arial" w:hAnsi="Arial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b" w:customStyle="1">
    <w:basedOn w:val="TableNormal"/>
    <w:rPr>
      <w:rFonts w:ascii="Arial" w:cs="Arial" w:eastAsia="Arial" w:hAnsi="Arial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c" w:customStyle="1">
    <w:basedOn w:val="TableNormal"/>
    <w:rPr>
      <w:rFonts w:ascii="Arial" w:cs="Arial" w:eastAsia="Arial" w:hAnsi="Arial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d" w:customStyle="1">
    <w:basedOn w:val="TableNormal"/>
    <w:rPr>
      <w:rFonts w:ascii="Arial" w:cs="Arial" w:eastAsia="Arial" w:hAnsi="Arial"/>
    </w:r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iuNZiTW9W6wIxqFS8BVnJwcq0A==">AMUW2mXttTO2LIvdduAdTEt4UN6213C7Ph5sm2ttX14YHRfcAvPI84O78KkyeDrWdhPCLnqYhXYVAKnjqOy6mPaX4E0clH7GBRNk6JhiSLnGUNfZcAyyPaHmVaEpjGn34fwUTRhr4QGgHSmuzzGTfyO2Z0DQo2IjUg==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2021-07-03T10:51:00Z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