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76275" cy="793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114300</wp:posOffset>
                      </wp:positionV>
                      <wp:extent cx="1857375" cy="79375"/>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114300</wp:posOffset>
                      </wp:positionV>
                      <wp:extent cx="1857375" cy="79375"/>
                      <wp:effectExtent b="0" l="0" r="0" t="0"/>
                      <wp:wrapNone/>
                      <wp:docPr id="107"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r w:rsidDel="00000000" w:rsidR="00000000" w:rsidRPr="00000000">
        <w:rPr>
          <w:rtl w:val="0"/>
        </w:rPr>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06 giờ 00 phút, ngày 02/07/2021.</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Hương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Giới tính: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73</w:t>
      </w:r>
      <w:r w:rsidDel="00000000" w:rsidR="00000000" w:rsidRPr="00000000">
        <w:rPr>
          <w:rFonts w:ascii="Times New Roman" w:cs="Times New Roman" w:eastAsia="Times New Roman" w:hAnsi="Times New Roman"/>
          <w:color w:val="000000"/>
          <w:sz w:val="26"/>
          <w:szCs w:val="26"/>
          <w:rtl w:val="0"/>
        </w:rPr>
        <w:t xml:space="preserve">, quốc tịch: Việt Nam, Chứng minh nhân dân:</w:t>
      </w:r>
      <w:r w:rsidDel="00000000" w:rsidR="00000000" w:rsidRPr="00000000">
        <w:rPr>
          <w:rFonts w:ascii="Times New Roman" w:cs="Times New Roman" w:eastAsia="Times New Roman" w:hAnsi="Times New Roman"/>
          <w:sz w:val="26"/>
          <w:szCs w:val="26"/>
          <w:rtl w:val="0"/>
        </w:rPr>
        <w:t xml:space="preserve"> 363854470</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color w:val="000000"/>
          <w:sz w:val="26"/>
          <w:szCs w:val="26"/>
          <w:rtl w:val="0"/>
        </w:rPr>
        <w:t xml:space="preserve">868 086 802</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Phật giáo</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14 Đường số 4 KDC Nam Long, phường An Lạc, quận Bình Tân, TP.HCM.</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tạp vụ nhà ăn và văn phòng xưởng số 4 công ty Nhựa Duy Tân</w:t>
      </w:r>
      <w:r w:rsidDel="00000000" w:rsidR="00000000" w:rsidRPr="00000000">
        <w:rPr>
          <w:rtl w:val="0"/>
        </w:rPr>
      </w:r>
    </w:p>
    <w:p w:rsidR="00000000" w:rsidDel="00000000" w:rsidP="00000000" w:rsidRDefault="00000000" w:rsidRPr="00000000" w14:paraId="00000019">
      <w:pPr>
        <w:numPr>
          <w:ilvl w:val="0"/>
          <w:numId w:val="2"/>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30/06/2021 có kết quả dương tính với SARS-CoV-2 theo diện lấy mẫu trong khu vực phong tỏa.</w:t>
      </w:r>
      <w:r w:rsidDel="00000000" w:rsidR="00000000" w:rsidRPr="00000000">
        <w:rPr>
          <w:rtl w:val="0"/>
        </w:rPr>
      </w:r>
    </w:p>
    <w:p w:rsidR="00000000" w:rsidDel="00000000" w:rsidP="00000000" w:rsidRDefault="00000000" w:rsidRPr="00000000" w14:paraId="0000001A">
      <w:pPr>
        <w:numPr>
          <w:ilvl w:val="0"/>
          <w:numId w:val="2"/>
        </w:numPr>
        <w:spacing w:after="0" w:line="360" w:lineRule="auto"/>
        <w:ind w:left="720" w:hanging="36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chồng và con BN dương tính SARS-CoV-2</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địa chỉ </w:t>
      </w:r>
      <w:r w:rsidDel="00000000" w:rsidR="00000000" w:rsidRPr="00000000">
        <w:rPr>
          <w:rFonts w:ascii="Times New Roman" w:cs="Times New Roman" w:eastAsia="Times New Roman" w:hAnsi="Times New Roman"/>
          <w:sz w:val="26"/>
          <w:szCs w:val="26"/>
          <w:rtl w:val="0"/>
        </w:rPr>
        <w:t xml:space="preserve">nhà trọ</w:t>
      </w:r>
      <w:r w:rsidDel="00000000" w:rsidR="00000000" w:rsidRPr="00000000">
        <w:rPr>
          <w:rFonts w:ascii="Times New Roman" w:cs="Times New Roman" w:eastAsia="Times New Roman" w:hAnsi="Times New Roman"/>
          <w:sz w:val="26"/>
          <w:szCs w:val="26"/>
          <w:rtl w:val="0"/>
        </w:rPr>
        <w:t xml:space="preserve"> 14 Đường số 4 KDC Nam Long, phường An Lạc, quận Bình Tân, TP.HCM cùng với gia đình. </w:t>
      </w:r>
      <w:r w:rsidDel="00000000" w:rsidR="00000000" w:rsidRPr="00000000">
        <w:rPr>
          <w:rFonts w:ascii="Times New Roman" w:cs="Times New Roman" w:eastAsia="Times New Roman" w:hAnsi="Times New Roman"/>
          <w:sz w:val="26"/>
          <w:szCs w:val="26"/>
          <w:rtl w:val="0"/>
        </w:rPr>
        <w:t xml:space="preserve">Chồng và con có kết quả dương tính ngày 21/06/2021 và đã được đưa đi điều trị tại bệnh viện quận Bình Chánh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Danh Thanh Hùng (1971)</w:t>
      </w:r>
      <w:r w:rsidDel="00000000" w:rsidR="00000000" w:rsidRPr="00000000">
        <w:rPr>
          <w:rtl w:val="0"/>
        </w:rPr>
      </w:r>
    </w:p>
    <w:p w:rsidR="00000000" w:rsidDel="00000000" w:rsidP="00000000" w:rsidRDefault="00000000" w:rsidRPr="00000000" w14:paraId="0000001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Danh Văn Dương (1991)</w:t>
      </w:r>
    </w:p>
    <w:p w:rsidR="00000000" w:rsidDel="00000000" w:rsidP="00000000" w:rsidRDefault="00000000" w:rsidRPr="00000000" w14:paraId="0000001F">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làm tại công ty Nhựa Duy Tân từ 6h-17h hàng ngày kể cả chủ nhật, nghỉ làm từ ngày 18/06/2021, trước đó không đi mua đồ ăn sáng, ăn trưa tại công ty.</w:t>
      </w:r>
    </w:p>
    <w:p w:rsidR="00000000" w:rsidDel="00000000" w:rsidP="00000000" w:rsidRDefault="00000000" w:rsidRPr="00000000" w14:paraId="00000020">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nay, BN đã được lấy mẫu 4 lần trong khu phong tỏa:</w:t>
      </w:r>
    </w:p>
    <w:p w:rsidR="00000000" w:rsidDel="00000000" w:rsidP="00000000" w:rsidRDefault="00000000" w:rsidRPr="00000000" w14:paraId="00000021">
      <w:pPr>
        <w:numPr>
          <w:ilvl w:val="0"/>
          <w:numId w:val="3"/>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xét nghiệm lần 4 ngày 30/06/2021 tại khu nhà trọ có kết quả dương tính. Những lần lấy mẫu trước vào ngày 17, 19, 21/06/2021 bệnh nhân âm tính.</w:t>
      </w:r>
    </w:p>
    <w:p w:rsidR="00000000" w:rsidDel="00000000" w:rsidP="00000000" w:rsidRDefault="00000000" w:rsidRPr="00000000" w14:paraId="00000022">
      <w:pPr>
        <w:numPr>
          <w:ilvl w:val="0"/>
          <w:numId w:val="3"/>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 không sốt.</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17/06 bệnh nhân không đi chợ, không đi mua đồ tạp hóa, chỉ nhận </w:t>
      </w:r>
      <w:r w:rsidDel="00000000" w:rsidR="00000000" w:rsidRPr="00000000">
        <w:rPr>
          <w:rFonts w:ascii="Times New Roman" w:cs="Times New Roman" w:eastAsia="Times New Roman" w:hAnsi="Times New Roman"/>
          <w:sz w:val="26"/>
          <w:szCs w:val="26"/>
          <w:rtl w:val="0"/>
        </w:rPr>
        <w:t xml:space="preserve">giao thực phẩm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nhà (không trực tiếp tiếp xúc với người </w:t>
      </w: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chồng và con BN có kết quả xét nghiệm dương tính với SARS-CoV-2 sau đó được chuyển đi bệnh viện quận Bình Chánh để điều trị, BN được yêu cầu cách ly tại nhà.</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25/06/2021, bệnh nhân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 siêu thị</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Bách Hóa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Xanh m</w:t>
      </w:r>
      <w:r w:rsidDel="00000000" w:rsidR="00000000" w:rsidRPr="00000000">
        <w:rPr>
          <w:rFonts w:ascii="Times New Roman" w:cs="Times New Roman" w:eastAsia="Times New Roman" w:hAnsi="Times New Roman"/>
          <w:sz w:val="26"/>
          <w:szCs w:val="26"/>
          <w:rtl w:val="0"/>
        </w:rPr>
        <w:t xml:space="preserve">ột mình (372 Hồ Học Lãm,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phường An Lạc, quận Bình Tân) từ khoảng 11-12h trưa.</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28/06/2021 bệnh nhân có triệu chứng nên đi mua thuốc tại nhà thuốc Quốc Huy (417 Hồ Học Lãm, phường An Lạc, quận Bình Tân) vào khoảng 4h chiều, về thằng nhà không tiếp xúc với ai.</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30/06/2021 xét nghiệm lần thứ 4 có kết quả dương tính sau đó được đưa đi cách ly.</w:t>
      </w:r>
    </w:p>
    <w:p w:rsidR="00000000" w:rsidDel="00000000" w:rsidP="00000000" w:rsidRDefault="00000000" w:rsidRPr="00000000" w14:paraId="00000028">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9">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đưa </w:t>
      </w:r>
      <w:r w:rsidDel="00000000" w:rsidR="00000000" w:rsidRPr="00000000">
        <w:rPr>
          <w:rFonts w:ascii="Times New Roman" w:cs="Times New Roman" w:eastAsia="Times New Roman" w:hAnsi="Times New Roman"/>
          <w:color w:val="000000"/>
          <w:sz w:val="26"/>
          <w:szCs w:val="26"/>
          <w:rtl w:val="0"/>
        </w:rPr>
        <w:t xml:space="preserve">đi cách ly</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ở KTX ĐHQG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A">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D">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F">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1">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3">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5">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7">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8">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hoa YTCC Sinh viên" w:id="0" w:date="2021-07-03T16:20:06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xin được mã giao hàng không</w:t>
      </w:r>
    </w:p>
  </w:comment>
  <w:comment w:author="KSDB KHOA" w:id="1" w:date="2021-07-04T04:15:26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có mã giao hàng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giao để lại đồ rồi đi bệnh nhân mới ra lấy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A" w15:done="0"/>
  <w15:commentEx w15:paraId="0000009C" w15:paraIdParent="0000009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rPr>
      <w:rFonts w:ascii="Arial" w:cs="Arial" w:eastAsia="Arial" w:hAnsi="Arial"/>
    </w:rPr>
    <w:tblPr>
      <w:tblStyleRowBandSize w:val="1"/>
      <w:tblStyleColBandSize w:val="1"/>
      <w:tblCellMar>
        <w:left w:w="115.0" w:type="dxa"/>
        <w:right w:w="115.0" w:type="dxa"/>
      </w:tblCellMar>
    </w:tblPr>
  </w:style>
  <w:style w:type="table" w:styleId="a3" w:customStyle="1">
    <w:basedOn w:val="TableNormal"/>
    <w:rPr>
      <w:rFonts w:ascii="Arial" w:cs="Arial" w:eastAsia="Arial" w:hAnsi="Arial"/>
    </w:rPr>
    <w:tblPr>
      <w:tblStyleRowBandSize w:val="1"/>
      <w:tblStyleColBandSize w:val="1"/>
      <w:tblCellMar>
        <w:left w:w="115.0" w:type="dxa"/>
        <w:right w:w="115.0" w:type="dxa"/>
      </w:tblCellMar>
    </w:tblPr>
  </w:style>
  <w:style w:type="table" w:styleId="a4" w:customStyle="1">
    <w:basedOn w:val="TableNormal"/>
    <w:rPr>
      <w:rFonts w:ascii="Arial" w:cs="Arial" w:eastAsia="Arial" w:hAnsi="Arial"/>
    </w:rPr>
    <w:tblPr>
      <w:tblStyleRowBandSize w:val="1"/>
      <w:tblStyleColBandSize w:val="1"/>
      <w:tblCellMar>
        <w:left w:w="115.0" w:type="dxa"/>
        <w:right w:w="115.0" w:type="dxa"/>
      </w:tblCellMar>
    </w:tblPr>
  </w:style>
  <w:style w:type="table" w:styleId="a5" w:customStyle="1">
    <w:basedOn w:val="TableNormal"/>
    <w:rPr>
      <w:rFonts w:ascii="Arial" w:cs="Arial" w:eastAsia="Arial" w:hAnsi="Arial"/>
    </w:rPr>
    <w:tblPr>
      <w:tblStyleRowBandSize w:val="1"/>
      <w:tblStyleColBandSize w:val="1"/>
      <w:tblCellMar>
        <w:left w:w="115.0" w:type="dxa"/>
        <w:right w:w="115.0" w:type="dxa"/>
      </w:tblCellMar>
    </w:tblPr>
  </w:style>
  <w:style w:type="table" w:styleId="a6" w:customStyle="1">
    <w:basedOn w:val="TableNormal"/>
    <w:rPr>
      <w:rFonts w:ascii="Arial" w:cs="Arial" w:eastAsia="Arial" w:hAnsi="Arial"/>
    </w:rPr>
    <w:tblPr>
      <w:tblStyleRowBandSize w:val="1"/>
      <w:tblStyleColBandSize w:val="1"/>
      <w:tblCellMar>
        <w:left w:w="115.0" w:type="dxa"/>
        <w:right w:w="115.0" w:type="dxa"/>
      </w:tblCellMar>
    </w:tblPr>
  </w:style>
  <w:style w:type="table" w:styleId="a7" w:customStyle="1">
    <w:basedOn w:val="TableNormal"/>
    <w:rPr>
      <w:rFonts w:ascii="Arial" w:cs="Arial" w:eastAsia="Arial" w:hAnsi="Arial"/>
    </w:rPr>
    <w:tblPr>
      <w:tblStyleRowBandSize w:val="1"/>
      <w:tblStyleColBandSize w:val="1"/>
      <w:tblCellMar>
        <w:left w:w="115.0" w:type="dxa"/>
        <w:right w:w="115.0" w:type="dxa"/>
      </w:tblCellMar>
    </w:tblPr>
  </w:style>
  <w:style w:type="table" w:styleId="a8" w:customStyle="1">
    <w:basedOn w:val="TableNormal"/>
    <w:rPr>
      <w:rFonts w:ascii="Arial" w:cs="Arial" w:eastAsia="Arial" w:hAnsi="Arial"/>
    </w:rPr>
    <w:tblPr>
      <w:tblStyleRowBandSize w:val="1"/>
      <w:tblStyleColBandSize w:val="1"/>
      <w:tblCellMar>
        <w:left w:w="115.0" w:type="dxa"/>
        <w:right w:w="115.0" w:type="dxa"/>
      </w:tblCellMar>
    </w:tblPr>
  </w:style>
  <w:style w:type="table" w:styleId="a9" w:customStyle="1">
    <w:basedOn w:val="TableNormal"/>
    <w:rPr>
      <w:rFonts w:ascii="Arial" w:cs="Arial" w:eastAsia="Arial" w:hAnsi="Arial"/>
    </w:rPr>
    <w:tblPr>
      <w:tblStyleRowBandSize w:val="1"/>
      <w:tblStyleColBandSize w:val="1"/>
      <w:tblCellMar>
        <w:left w:w="115.0" w:type="dxa"/>
        <w:right w:w="115.0" w:type="dxa"/>
      </w:tblCellMar>
    </w:tblPr>
  </w:style>
  <w:style w:type="table" w:styleId="aa" w:customStyle="1">
    <w:basedOn w:val="TableNormal"/>
    <w:rPr>
      <w:rFonts w:ascii="Arial" w:cs="Arial" w:eastAsia="Arial" w:hAnsi="Arial"/>
    </w:rPr>
    <w:tblPr>
      <w:tblStyleRowBandSize w:val="1"/>
      <w:tblStyleColBandSize w:val="1"/>
      <w:tblCellMar>
        <w:left w:w="115.0" w:type="dxa"/>
        <w:right w:w="115.0" w:type="dxa"/>
      </w:tblCellMar>
    </w:tblPr>
  </w:style>
  <w:style w:type="table" w:styleId="ab" w:customStyle="1">
    <w:basedOn w:val="TableNormal"/>
    <w:rPr>
      <w:rFonts w:ascii="Arial" w:cs="Arial" w:eastAsia="Arial" w:hAnsi="Arial"/>
    </w:rPr>
    <w:tblPr>
      <w:tblStyleRowBandSize w:val="1"/>
      <w:tblStyleColBandSize w:val="1"/>
      <w:tblCellMar>
        <w:left w:w="115.0" w:type="dxa"/>
        <w:right w:w="115.0" w:type="dxa"/>
      </w:tblCellMar>
    </w:tblPr>
  </w:style>
  <w:style w:type="table" w:styleId="ac" w:customStyle="1">
    <w:basedOn w:val="TableNormal"/>
    <w:rPr>
      <w:rFonts w:ascii="Arial" w:cs="Arial" w:eastAsia="Arial" w:hAnsi="Arial"/>
    </w:rPr>
    <w:tblPr>
      <w:tblStyleRowBandSize w:val="1"/>
      <w:tblStyleColBandSize w:val="1"/>
      <w:tblCellMar>
        <w:left w:w="115.0" w:type="dxa"/>
        <w:right w:w="115.0" w:type="dxa"/>
      </w:tblCellMar>
    </w:tblPr>
  </w:style>
  <w:style w:type="table" w:styleId="ad" w:customStyle="1">
    <w:basedOn w:val="TableNormal"/>
    <w:rPr>
      <w:rFonts w:ascii="Arial" w:cs="Arial" w:eastAsia="Arial" w:hAnsi="Arial"/>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azGJucXTEyid5Y2gd7O7z8qrBw==">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