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85" w:rsidRDefault="009A621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e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85" w14:paraId="2DD92205" w14:textId="77777777">
        <w:tc>
          <w:tcPr>
            <w:tcW w:w="4572" w:type="dxa"/>
          </w:tcPr>
          <w:p w14:paraId="00000002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3F2185" w:rsidRDefault="009A621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3F2185" w:rsidRDefault="009A62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3F2185" w:rsidRDefault="003F218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3F2185" w:rsidRDefault="009A62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85" w:rsidRDefault="003F2185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85" w:rsidRDefault="009A621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85" w:rsidRPr="00755E61" w:rsidRDefault="009A6214">
      <w:pPr>
        <w:numPr>
          <w:ilvl w:val="0"/>
          <w:numId w:val="4"/>
        </w:numPr>
        <w:spacing w:after="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Thông tin ca bệnh</w:t>
      </w:r>
    </w:p>
    <w:p w14:paraId="00000012" w14:textId="77777777" w:rsidR="003F2185" w:rsidRPr="00755E61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>Nhận thông tin lúc: 06 giờ 00 phút, ngày 01/07/2021.</w:t>
      </w:r>
    </w:p>
    <w:p w14:paraId="00000013" w14:textId="71E13009" w:rsidR="003F2185" w:rsidRPr="00755E61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>Bệnh nhân:</w:t>
      </w:r>
      <w:r w:rsidRPr="00755E61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="00E817FD" w:rsidRPr="00755E61">
        <w:rPr>
          <w:rFonts w:asciiTheme="majorHAnsi" w:eastAsia="Times New Roman" w:hAnsiTheme="majorHAnsi" w:cstheme="majorHAnsi"/>
          <w:b/>
          <w:sz w:val="28"/>
          <w:szCs w:val="28"/>
        </w:rPr>
        <w:t>Thạch Thảo</w:t>
      </w:r>
      <w:r w:rsidRPr="00755E61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  <w:highlight w:val="white"/>
        </w:rPr>
        <w:t>(BN0000)</w:t>
      </w: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="00E817FD"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>NAM</w:t>
      </w: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sinh năm </w:t>
      </w:r>
      <w:r w:rsidR="00826B74" w:rsidRPr="00755E61">
        <w:rPr>
          <w:rFonts w:asciiTheme="majorHAnsi" w:eastAsia="Times New Roman" w:hAnsiTheme="majorHAnsi" w:cstheme="majorHAnsi"/>
          <w:sz w:val="28"/>
          <w:szCs w:val="28"/>
        </w:rPr>
        <w:t>200</w:t>
      </w:r>
      <w:r w:rsidR="00E817FD" w:rsidRPr="00755E61">
        <w:rPr>
          <w:rFonts w:asciiTheme="majorHAnsi" w:eastAsia="Times New Roman" w:hAnsiTheme="majorHAnsi" w:cstheme="majorHAnsi"/>
          <w:sz w:val="28"/>
          <w:szCs w:val="28"/>
        </w:rPr>
        <w:t>0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>,</w:t>
      </w: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quốc tịch: Việt Nam</w:t>
      </w:r>
    </w:p>
    <w:p w14:paraId="00000014" w14:textId="75CF5441" w:rsidR="003F2185" w:rsidRPr="00755E61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>SĐT: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826B74" w:rsidRPr="00755E61">
        <w:rPr>
          <w:rFonts w:asciiTheme="majorHAnsi" w:eastAsia="Times New Roman" w:hAnsiTheme="majorHAnsi" w:cstheme="majorHAnsi"/>
          <w:sz w:val="28"/>
          <w:szCs w:val="28"/>
          <w:lang w:val="en-US"/>
        </w:rPr>
        <w:t>0</w:t>
      </w:r>
      <w:r w:rsidR="00E817FD" w:rsidRPr="00755E61">
        <w:rPr>
          <w:rFonts w:asciiTheme="majorHAnsi" w:eastAsia="Times New Roman" w:hAnsiTheme="majorHAnsi" w:cstheme="majorHAnsi"/>
          <w:sz w:val="28"/>
          <w:szCs w:val="28"/>
          <w:lang w:val="en-US"/>
        </w:rPr>
        <w:t>862276613</w:t>
      </w:r>
    </w:p>
    <w:p w14:paraId="00000015" w14:textId="481F3376" w:rsidR="003F2185" w:rsidRPr="00755E61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Địa chỉ nơi ở: </w:t>
      </w:r>
      <w:r w:rsidR="00E817FD" w:rsidRPr="00755E61">
        <w:rPr>
          <w:rFonts w:asciiTheme="majorHAnsi" w:hAnsiTheme="majorHAnsi" w:cstheme="majorHAnsi"/>
          <w:sz w:val="28"/>
          <w:szCs w:val="28"/>
        </w:rPr>
        <w:t xml:space="preserve">51-53 đường số 1, HL5, p.An Lạc, </w:t>
      </w:r>
      <w:r w:rsidR="00C609C0" w:rsidRPr="00755E61">
        <w:rPr>
          <w:rFonts w:asciiTheme="majorHAnsi" w:hAnsiTheme="majorHAnsi" w:cstheme="majorHAnsi"/>
          <w:sz w:val="28"/>
          <w:szCs w:val="28"/>
        </w:rPr>
        <w:t>q.Bình Tân, TP.HCM</w:t>
      </w:r>
    </w:p>
    <w:p w14:paraId="7EF3FE82" w14:textId="5B12A29C" w:rsidR="00890ADF" w:rsidRPr="00755E61" w:rsidRDefault="00890A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Tôn giáo: </w:t>
      </w:r>
      <w:r w:rsidR="001B6757" w:rsidRPr="00755E61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Không</w:t>
      </w:r>
    </w:p>
    <w:p w14:paraId="00000016" w14:textId="4B5C9B9E" w:rsidR="003F2185" w:rsidRPr="00755E61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/>
          <w:sz w:val="28"/>
          <w:szCs w:val="28"/>
        </w:rPr>
        <w:t>Nghề nghiệp: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CD7ECD" w:rsidRPr="00755E61">
        <w:rPr>
          <w:rFonts w:asciiTheme="majorHAnsi" w:eastAsia="Times New Roman" w:hAnsiTheme="majorHAnsi" w:cstheme="majorHAnsi"/>
          <w:sz w:val="28"/>
          <w:szCs w:val="28"/>
          <w:highlight w:val="white"/>
        </w:rPr>
        <w:t>Công nhân cô</w:t>
      </w:r>
      <w:r w:rsidR="00C609C0" w:rsidRPr="00755E61">
        <w:rPr>
          <w:rFonts w:asciiTheme="majorHAnsi" w:eastAsia="Times New Roman" w:hAnsiTheme="majorHAnsi" w:cstheme="majorHAnsi"/>
          <w:sz w:val="28"/>
          <w:szCs w:val="28"/>
        </w:rPr>
        <w:t>ng ty</w:t>
      </w:r>
      <w:r w:rsidR="001B6757" w:rsidRPr="00755E61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72878" w:rsidRPr="00E72878">
        <w:rPr>
          <w:rFonts w:asciiTheme="majorHAnsi" w:eastAsia="Times New Roman" w:hAnsiTheme="majorHAnsi" w:cstheme="majorHAnsi"/>
          <w:sz w:val="28"/>
          <w:szCs w:val="28"/>
        </w:rPr>
        <w:t>Long Nghị Hưng, q.Bình Tân</w:t>
      </w:r>
    </w:p>
    <w:p w14:paraId="00000017" w14:textId="7FF7AF39" w:rsidR="003F2185" w:rsidRPr="00755E61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Yếu tố dịch tễ: BN CÁCH LY TẬP TRUNG </w:t>
      </w:r>
      <w:r w:rsidR="00CD7ECD" w:rsidRPr="00755E61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TẠI </w:t>
      </w:r>
      <w:r w:rsidR="00A74E9D" w:rsidRPr="00755E61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KTX </w:t>
      </w:r>
      <w:r w:rsidR="00B12F9C" w:rsidRPr="00755E61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ĐHQG</w:t>
      </w:r>
    </w:p>
    <w:p w14:paraId="00000018" w14:textId="77777777" w:rsidR="003F2185" w:rsidRPr="00755E61" w:rsidRDefault="009A62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Lịch sử đi lại và tiền sử tiếp xúc và triệu chứng lâm sàng của BN (theo lời khai của BN</w:t>
      </w:r>
    </w:p>
    <w:p w14:paraId="0000001A" w14:textId="35CA27C9" w:rsidR="003F2185" w:rsidRPr="00755E61" w:rsidRDefault="009A6214" w:rsidP="00610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sz w:val="28"/>
          <w:szCs w:val="28"/>
        </w:rPr>
        <w:t>Bệnh nhân sống</w:t>
      </w:r>
      <w:r w:rsidR="00B879FF" w:rsidRPr="00755E61">
        <w:rPr>
          <w:rFonts w:asciiTheme="majorHAnsi" w:eastAsia="Times New Roman" w:hAnsiTheme="majorHAnsi" w:cstheme="majorHAnsi"/>
          <w:sz w:val="28"/>
          <w:szCs w:val="28"/>
        </w:rPr>
        <w:t xml:space="preserve"> cùng bạn tại phòng trọ </w:t>
      </w:r>
      <w:r w:rsidR="00B879FF" w:rsidRPr="00755E61">
        <w:rPr>
          <w:rFonts w:asciiTheme="majorHAnsi" w:hAnsiTheme="majorHAnsi" w:cstheme="majorHAnsi"/>
          <w:sz w:val="28"/>
          <w:szCs w:val="28"/>
        </w:rPr>
        <w:t>51-53 đường số 1, HL5, p.An Lạc, q.Bình Tân, TP.HCM</w:t>
      </w:r>
      <w:r w:rsidR="00B879FF" w:rsidRPr="00755E61">
        <w:rPr>
          <w:rFonts w:asciiTheme="majorHAnsi" w:hAnsiTheme="majorHAnsi" w:cstheme="majorHAnsi"/>
          <w:sz w:val="28"/>
          <w:szCs w:val="28"/>
        </w:rPr>
        <w:t xml:space="preserve"> (</w:t>
      </w:r>
      <w:r w:rsidR="00521525" w:rsidRPr="00755E61">
        <w:rPr>
          <w:rFonts w:asciiTheme="majorHAnsi" w:hAnsiTheme="majorHAnsi" w:cstheme="majorHAnsi"/>
          <w:sz w:val="28"/>
          <w:szCs w:val="28"/>
        </w:rPr>
        <w:t xml:space="preserve"> </w:t>
      </w:r>
      <w:r w:rsidR="0058710B" w:rsidRPr="00755E61">
        <w:rPr>
          <w:rFonts w:asciiTheme="majorHAnsi" w:hAnsiTheme="majorHAnsi" w:cstheme="majorHAnsi"/>
          <w:sz w:val="28"/>
          <w:szCs w:val="28"/>
        </w:rPr>
        <w:t xml:space="preserve">Chau Tha </w:t>
      </w:r>
      <w:r w:rsidR="002B475E" w:rsidRPr="00755E61">
        <w:rPr>
          <w:rFonts w:asciiTheme="majorHAnsi" w:hAnsiTheme="majorHAnsi" w:cstheme="majorHAnsi"/>
          <w:sz w:val="28"/>
          <w:szCs w:val="28"/>
        </w:rPr>
        <w:t>(1995)</w:t>
      </w:r>
      <w:r w:rsidR="00E72878" w:rsidRPr="00E72878">
        <w:rPr>
          <w:rFonts w:asciiTheme="majorHAnsi" w:hAnsiTheme="majorHAnsi" w:cstheme="majorHAnsi"/>
          <w:sz w:val="28"/>
          <w:szCs w:val="28"/>
        </w:rPr>
        <w:t xml:space="preserve"> </w:t>
      </w:r>
      <w:r w:rsidR="00E72878">
        <w:rPr>
          <w:rFonts w:asciiTheme="majorHAnsi" w:hAnsiTheme="majorHAnsi" w:cstheme="majorHAnsi"/>
          <w:sz w:val="28"/>
          <w:szCs w:val="28"/>
        </w:rPr>
        <w:t>–</w:t>
      </w:r>
      <w:r w:rsidR="00E72878" w:rsidRPr="00E72878">
        <w:rPr>
          <w:rFonts w:asciiTheme="majorHAnsi" w:hAnsiTheme="majorHAnsi" w:cstheme="majorHAnsi"/>
          <w:sz w:val="28"/>
          <w:szCs w:val="28"/>
        </w:rPr>
        <w:t xml:space="preserve"> Dương tính đã được đưa đi cách ly tại KT</w:t>
      </w:r>
      <w:r w:rsidR="00E72878" w:rsidRPr="00262125">
        <w:rPr>
          <w:rFonts w:asciiTheme="majorHAnsi" w:hAnsiTheme="majorHAnsi" w:cstheme="majorHAnsi"/>
          <w:sz w:val="28"/>
          <w:szCs w:val="28"/>
        </w:rPr>
        <w:t>X</w:t>
      </w:r>
      <w:r w:rsidR="00E72878" w:rsidRPr="00E72878">
        <w:rPr>
          <w:rFonts w:asciiTheme="majorHAnsi" w:hAnsiTheme="majorHAnsi" w:cstheme="majorHAnsi"/>
          <w:sz w:val="28"/>
          <w:szCs w:val="28"/>
        </w:rPr>
        <w:t xml:space="preserve"> ĐHQG</w:t>
      </w:r>
      <w:r w:rsidR="002B475E" w:rsidRPr="00755E61">
        <w:rPr>
          <w:rFonts w:asciiTheme="majorHAnsi" w:hAnsiTheme="majorHAnsi" w:cstheme="majorHAnsi"/>
          <w:sz w:val="28"/>
          <w:szCs w:val="28"/>
        </w:rPr>
        <w:t xml:space="preserve"> </w:t>
      </w:r>
      <w:r w:rsidR="0058710B" w:rsidRPr="00755E61">
        <w:rPr>
          <w:rFonts w:asciiTheme="majorHAnsi" w:hAnsiTheme="majorHAnsi" w:cstheme="majorHAnsi"/>
          <w:sz w:val="28"/>
          <w:szCs w:val="28"/>
        </w:rPr>
        <w:t xml:space="preserve"> </w:t>
      </w:r>
      <w:r w:rsidR="005E7CA8" w:rsidRPr="00755E61">
        <w:rPr>
          <w:rFonts w:asciiTheme="majorHAnsi" w:hAnsiTheme="majorHAnsi" w:cstheme="majorHAnsi"/>
          <w:sz w:val="28"/>
          <w:szCs w:val="28"/>
        </w:rPr>
        <w:t>)</w:t>
      </w:r>
    </w:p>
    <w:p w14:paraId="1E92B334" w14:textId="51ED8ED9" w:rsidR="005B2F02" w:rsidRPr="00B30296" w:rsidRDefault="005B2F02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Bệnh nhân làm ở </w:t>
      </w:r>
      <w:r w:rsidR="00610AA9" w:rsidRPr="00755E61">
        <w:rPr>
          <w:rFonts w:asciiTheme="majorHAnsi" w:eastAsia="Times New Roman" w:hAnsiTheme="majorHAnsi" w:cstheme="majorHAnsi"/>
          <w:sz w:val="28"/>
          <w:szCs w:val="28"/>
        </w:rPr>
        <w:t>lầu dưới, khu băng chuyền,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 xml:space="preserve"> công ty </w:t>
      </w:r>
      <w:r w:rsidR="00262125" w:rsidRPr="00262125">
        <w:rPr>
          <w:rFonts w:asciiTheme="majorHAnsi" w:eastAsia="Times New Roman" w:hAnsiTheme="majorHAnsi" w:cstheme="majorHAnsi"/>
          <w:sz w:val="28"/>
          <w:szCs w:val="28"/>
        </w:rPr>
        <w:t>Long Nghị Hưng</w:t>
      </w:r>
      <w:r w:rsidR="00A739B3" w:rsidRPr="00A739B3">
        <w:rPr>
          <w:rFonts w:asciiTheme="majorHAnsi" w:eastAsia="Times New Roman" w:hAnsiTheme="majorHAnsi" w:cstheme="majorHAnsi"/>
          <w:sz w:val="28"/>
          <w:szCs w:val="28"/>
        </w:rPr>
        <w:t>, bệnh nhân ăn uống và sinh hoạt riêng với các nhân viên khác trong công ty (khoảng 15 người một băng chuyền, cách ly &gt;2m).</w:t>
      </w:r>
    </w:p>
    <w:p w14:paraId="218E0AEE" w14:textId="3B06CE11" w:rsidR="00B30296" w:rsidRPr="00755E61" w:rsidRDefault="00B30296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30296">
        <w:rPr>
          <w:rFonts w:asciiTheme="majorHAnsi" w:eastAsia="Times New Roman" w:hAnsiTheme="majorHAnsi" w:cstheme="majorHAnsi"/>
          <w:sz w:val="28"/>
          <w:szCs w:val="28"/>
        </w:rPr>
        <w:t xml:space="preserve">Bệnh nhân có đi mua đồ ở tạp hóa </w:t>
      </w:r>
      <w:r w:rsidR="00C67EE8" w:rsidRPr="00C67EE8">
        <w:rPr>
          <w:rFonts w:asciiTheme="majorHAnsi" w:eastAsia="Times New Roman" w:hAnsiTheme="majorHAnsi" w:cstheme="majorHAnsi"/>
          <w:sz w:val="28"/>
          <w:szCs w:val="28"/>
        </w:rPr>
        <w:t xml:space="preserve">trước khu dân cư </w:t>
      </w:r>
      <w:r w:rsidR="00C67EE8" w:rsidRPr="00755E61">
        <w:rPr>
          <w:rFonts w:asciiTheme="majorHAnsi" w:hAnsiTheme="majorHAnsi" w:cstheme="majorHAnsi"/>
          <w:sz w:val="28"/>
          <w:szCs w:val="28"/>
        </w:rPr>
        <w:t>51-53 đường số 1, HL5, p.An Lạc, q.Bình Tân, TP.HCM</w:t>
      </w:r>
      <w:r w:rsidR="00C67EE8" w:rsidRPr="00C67EE8">
        <w:rPr>
          <w:rFonts w:asciiTheme="majorHAnsi" w:hAnsiTheme="majorHAnsi" w:cstheme="majorHAnsi"/>
          <w:sz w:val="28"/>
          <w:szCs w:val="28"/>
        </w:rPr>
        <w:t xml:space="preserve"> (không nhớ rõ ràng- tần số 1 tháng/1 lầ</w:t>
      </w:r>
      <w:r w:rsidR="00C67EE8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C67EE8" w:rsidRPr="00C67EE8">
        <w:rPr>
          <w:rFonts w:asciiTheme="majorHAnsi" w:hAnsiTheme="majorHAnsi" w:cstheme="majorHAnsi"/>
          <w:sz w:val="28"/>
          <w:szCs w:val="28"/>
        </w:rPr>
        <w:t>)</w:t>
      </w:r>
    </w:p>
    <w:p w14:paraId="3FA7AADD" w14:textId="742EAB9D" w:rsidR="003E5E2C" w:rsidRPr="008D1461" w:rsidRDefault="003E5E2C" w:rsidP="008D1461">
      <w:pPr>
        <w:pStyle w:val="ListParagraph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D1461">
        <w:rPr>
          <w:rFonts w:asciiTheme="majorHAnsi" w:eastAsia="Times New Roman" w:hAnsiTheme="majorHAnsi" w:cstheme="majorHAnsi"/>
          <w:sz w:val="28"/>
          <w:szCs w:val="28"/>
        </w:rPr>
        <w:t xml:space="preserve">Công ty Long Nghị Hưng cho nghỉ do dịch từ ngày 14/6/2021, nên bệnh nhân chỉ ở nhà và </w:t>
      </w:r>
      <w:r w:rsidR="008D1461" w:rsidRPr="008D1461">
        <w:rPr>
          <w:rFonts w:asciiTheme="majorHAnsi" w:eastAsia="Times New Roman" w:hAnsiTheme="majorHAnsi" w:cstheme="majorHAnsi"/>
          <w:sz w:val="28"/>
          <w:szCs w:val="28"/>
        </w:rPr>
        <w:t xml:space="preserve">không đi đâu, </w:t>
      </w:r>
      <w:r w:rsidR="008D1461" w:rsidRPr="008D1461">
        <w:rPr>
          <w:rFonts w:asciiTheme="majorHAnsi" w:eastAsia="Times New Roman" w:hAnsiTheme="majorHAnsi" w:cstheme="majorHAnsi"/>
          <w:sz w:val="28"/>
          <w:szCs w:val="28"/>
        </w:rPr>
        <w:t>có bạn Chau Rong (1989) – Dương tính đã được đưa đi cách ly tại ĐHQG qua chơi, không nhớ rõ ngày</w:t>
      </w:r>
      <w:r w:rsidR="008D1461" w:rsidRPr="008D1461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0000001B" w14:textId="21253E4E" w:rsidR="003F2185" w:rsidRPr="006A2AE1" w:rsidRDefault="001812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755E61">
        <w:rPr>
          <w:rFonts w:asciiTheme="majorHAnsi" w:eastAsia="Times New Roman" w:hAnsiTheme="majorHAnsi" w:cstheme="majorHAnsi"/>
          <w:sz w:val="28"/>
          <w:szCs w:val="28"/>
        </w:rPr>
        <w:t>Bệnh nhân được cách ly tại</w:t>
      </w:r>
      <w:r w:rsidR="008D1461" w:rsidRPr="008D1461">
        <w:rPr>
          <w:rFonts w:asciiTheme="majorHAnsi" w:eastAsia="Times New Roman" w:hAnsiTheme="majorHAnsi" w:cstheme="majorHAnsi"/>
          <w:sz w:val="28"/>
          <w:szCs w:val="28"/>
        </w:rPr>
        <w:t xml:space="preserve"> KTX ĐHQ</w:t>
      </w:r>
      <w:r w:rsidR="008D1461" w:rsidRPr="00E23C2F">
        <w:rPr>
          <w:rFonts w:asciiTheme="majorHAnsi" w:eastAsia="Times New Roman" w:hAnsiTheme="majorHAnsi" w:cstheme="majorHAnsi"/>
          <w:sz w:val="28"/>
          <w:szCs w:val="28"/>
        </w:rPr>
        <w:t>G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 xml:space="preserve"> (</w:t>
      </w:r>
      <w:r w:rsidR="00ED484B" w:rsidRPr="00755E61">
        <w:rPr>
          <w:rFonts w:asciiTheme="majorHAnsi" w:eastAsia="Times New Roman" w:hAnsiTheme="majorHAnsi" w:cstheme="majorHAnsi"/>
          <w:sz w:val="28"/>
          <w:szCs w:val="28"/>
        </w:rPr>
        <w:t xml:space="preserve">ngày </w:t>
      </w:r>
      <w:r w:rsidR="00E23C2F" w:rsidRPr="00E23C2F">
        <w:rPr>
          <w:rFonts w:asciiTheme="majorHAnsi" w:eastAsia="Times New Roman" w:hAnsiTheme="majorHAnsi" w:cstheme="majorHAnsi"/>
          <w:sz w:val="28"/>
          <w:szCs w:val="28"/>
        </w:rPr>
        <w:t>01/07</w:t>
      </w:r>
      <w:r w:rsidR="00ED484B" w:rsidRPr="00755E61">
        <w:rPr>
          <w:rFonts w:asciiTheme="majorHAnsi" w:eastAsia="Times New Roman" w:hAnsiTheme="majorHAnsi" w:cstheme="majorHAnsi"/>
          <w:sz w:val="28"/>
          <w:szCs w:val="28"/>
        </w:rPr>
        <w:t>/2021</w:t>
      </w:r>
      <w:r w:rsidRPr="00755E61">
        <w:rPr>
          <w:rFonts w:asciiTheme="majorHAnsi" w:eastAsia="Times New Roman" w:hAnsiTheme="majorHAnsi" w:cstheme="majorHAnsi"/>
          <w:sz w:val="28"/>
          <w:szCs w:val="28"/>
        </w:rPr>
        <w:t xml:space="preserve">) </w:t>
      </w:r>
      <w:r w:rsidR="00E23C2F" w:rsidRPr="00E23C2F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0000001F" w14:textId="679EABAE" w:rsidR="003F2185" w:rsidRPr="00C44608" w:rsidRDefault="006A2AE1" w:rsidP="00C4460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6A2AE1">
        <w:rPr>
          <w:rFonts w:ascii="Times New Roman" w:eastAsia="Times New Roman" w:hAnsi="Times New Roman" w:cs="Times New Roman"/>
          <w:sz w:val="28"/>
          <w:szCs w:val="28"/>
        </w:rPr>
        <w:t>Người bệnh lấy mẫu</w:t>
      </w:r>
      <w:r w:rsidR="00890ADF" w:rsidRPr="00890ADF">
        <w:rPr>
          <w:rFonts w:ascii="Times New Roman" w:eastAsia="Times New Roman" w:hAnsi="Times New Roman" w:cs="Times New Roman"/>
          <w:sz w:val="28"/>
          <w:szCs w:val="28"/>
        </w:rPr>
        <w:t xml:space="preserve"> xét nghiệm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Pr="00DF56CC">
        <w:rPr>
          <w:rFonts w:ascii="Times New Roman" w:eastAsia="Times New Roman" w:hAnsi="Times New Roman" w:cs="Times New Roman"/>
          <w:sz w:val="28"/>
          <w:szCs w:val="28"/>
        </w:rPr>
        <w:t>ần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23C2F" w:rsidRPr="00E23C2F">
        <w:rPr>
          <w:rFonts w:ascii="Times New Roman" w:eastAsia="Times New Roman" w:hAnsi="Times New Roman" w:cs="Times New Roman"/>
          <w:sz w:val="28"/>
          <w:szCs w:val="28"/>
        </w:rPr>
        <w:t>Không nhớ rõ các lần và địa điểm đã xét nghiệm</w:t>
      </w:r>
      <w:r w:rsidR="00215A8B" w:rsidRPr="00215A8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20" w14:textId="42DE7AB2" w:rsidR="003F2185" w:rsidRPr="00215A8B" w:rsidRDefault="009A6214" w:rsidP="00215A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15A8B">
        <w:rPr>
          <w:rFonts w:ascii="Times New Roman" w:eastAsia="Times New Roman" w:hAnsi="Times New Roman" w:cs="Times New Roman"/>
          <w:sz w:val="26"/>
          <w:szCs w:val="26"/>
        </w:rPr>
        <w:t>Triệu chứng:</w:t>
      </w:r>
      <w:r w:rsidR="00C8479F" w:rsidRPr="00215A8B">
        <w:rPr>
          <w:rFonts w:ascii="Times New Roman" w:eastAsia="Times New Roman" w:hAnsi="Times New Roman" w:cs="Times New Roman"/>
          <w:sz w:val="26"/>
          <w:szCs w:val="26"/>
        </w:rPr>
        <w:t xml:space="preserve"> nhức đầu xảy ra vào</w:t>
      </w:r>
      <w:r w:rsidR="00AF57BF" w:rsidRPr="00AF57BF">
        <w:rPr>
          <w:rFonts w:ascii="Times New Roman" w:eastAsia="Times New Roman" w:hAnsi="Times New Roman" w:cs="Times New Roman"/>
          <w:sz w:val="26"/>
          <w:szCs w:val="26"/>
        </w:rPr>
        <w:t xml:space="preserve"> khoảng 2-3 tuần trước</w:t>
      </w:r>
      <w:r w:rsidR="00C8479F" w:rsidRPr="00215A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57BF" w:rsidRPr="00AF57BF">
        <w:rPr>
          <w:rFonts w:ascii="Times New Roman" w:eastAsia="Times New Roman" w:hAnsi="Times New Roman" w:cs="Times New Roman"/>
          <w:sz w:val="26"/>
          <w:szCs w:val="26"/>
        </w:rPr>
        <w:t>(</w:t>
      </w:r>
      <w:r w:rsidR="00C8479F" w:rsidRPr="00215A8B"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 w:rsidR="00AF57BF" w:rsidRPr="00AF57BF">
        <w:rPr>
          <w:rFonts w:ascii="Times New Roman" w:eastAsia="Times New Roman" w:hAnsi="Times New Roman" w:cs="Times New Roman"/>
          <w:sz w:val="26"/>
          <w:szCs w:val="26"/>
        </w:rPr>
        <w:t>14</w:t>
      </w:r>
      <w:r w:rsidR="00C8479F" w:rsidRPr="00215A8B">
        <w:rPr>
          <w:rFonts w:ascii="Times New Roman" w:eastAsia="Times New Roman" w:hAnsi="Times New Roman" w:cs="Times New Roman"/>
          <w:sz w:val="26"/>
          <w:szCs w:val="26"/>
        </w:rPr>
        <w:t>/0</w:t>
      </w:r>
      <w:r w:rsidR="00AF57BF" w:rsidRPr="00AF57BF">
        <w:rPr>
          <w:rFonts w:ascii="Times New Roman" w:eastAsia="Times New Roman" w:hAnsi="Times New Roman" w:cs="Times New Roman"/>
          <w:sz w:val="26"/>
          <w:szCs w:val="26"/>
        </w:rPr>
        <w:t>6</w:t>
      </w:r>
      <w:r w:rsidR="00C8479F" w:rsidRPr="00215A8B">
        <w:rPr>
          <w:rFonts w:ascii="Times New Roman" w:eastAsia="Times New Roman" w:hAnsi="Times New Roman" w:cs="Times New Roman"/>
          <w:sz w:val="26"/>
          <w:szCs w:val="26"/>
        </w:rPr>
        <w:t>/2021</w:t>
      </w:r>
      <w:r w:rsidR="00AF57BF" w:rsidRPr="00AF57BF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215A8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1" w14:textId="77777777" w:rsidR="003F2185" w:rsidRDefault="009A621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2" w14:textId="2D156BF2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C8479F" w:rsidRPr="00C8479F">
        <w:rPr>
          <w:rFonts w:ascii="Times New Roman" w:eastAsia="Times New Roman" w:hAnsi="Times New Roman" w:cs="Times New Roman"/>
          <w:sz w:val="26"/>
          <w:szCs w:val="26"/>
        </w:rPr>
        <w:t>TRUNG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3" w14:textId="77777777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5" w14:textId="77777777" w:rsidR="003F2185" w:rsidRDefault="009A62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85" w14:paraId="7DFADFB9" w14:textId="77777777">
        <w:tc>
          <w:tcPr>
            <w:tcW w:w="4084" w:type="dxa"/>
          </w:tcPr>
          <w:p w14:paraId="00000026" w14:textId="77777777" w:rsidR="003F2185" w:rsidRDefault="009A621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85" w14:paraId="1C65A81B" w14:textId="77777777">
        <w:trPr>
          <w:trHeight w:val="191"/>
        </w:trPr>
        <w:tc>
          <w:tcPr>
            <w:tcW w:w="4084" w:type="dxa"/>
          </w:tcPr>
          <w:p w14:paraId="00000028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85" w14:paraId="02EEDCDE" w14:textId="77777777">
        <w:trPr>
          <w:trHeight w:val="20"/>
        </w:trPr>
        <w:tc>
          <w:tcPr>
            <w:tcW w:w="4084" w:type="dxa"/>
          </w:tcPr>
          <w:p w14:paraId="0000002A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209BE7F3" w14:textId="77777777">
        <w:trPr>
          <w:trHeight w:val="20"/>
        </w:trPr>
        <w:tc>
          <w:tcPr>
            <w:tcW w:w="4084" w:type="dxa"/>
          </w:tcPr>
          <w:p w14:paraId="0000002C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181E0AB5" w14:textId="77777777">
        <w:trPr>
          <w:trHeight w:val="20"/>
        </w:trPr>
        <w:tc>
          <w:tcPr>
            <w:tcW w:w="4084" w:type="dxa"/>
          </w:tcPr>
          <w:p w14:paraId="0000002E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538D796D" w14:textId="77777777">
        <w:trPr>
          <w:trHeight w:val="285"/>
        </w:trPr>
        <w:tc>
          <w:tcPr>
            <w:tcW w:w="4084" w:type="dxa"/>
          </w:tcPr>
          <w:p w14:paraId="00000030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77777777" w:rsidR="003F2185" w:rsidRDefault="009A621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2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3F2185" w:rsidRDefault="003F2185">
      <w:pPr>
        <w:sectPr w:rsidR="003F218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3F2185" w:rsidRDefault="009A621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85" w14:paraId="757822D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85" w14:paraId="1CDE511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85" w14:paraId="17D9292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85" w14:paraId="010DBD68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0727DD4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1F60C3D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5E46B6C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3F2185" w:rsidRDefault="003F2185"/>
    <w:sectPr w:rsidR="003F218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000"/>
    <w:multiLevelType w:val="multilevel"/>
    <w:tmpl w:val="292CC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2701"/>
    <w:multiLevelType w:val="multilevel"/>
    <w:tmpl w:val="FD846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B3F04"/>
    <w:multiLevelType w:val="multilevel"/>
    <w:tmpl w:val="8D9E8C8A"/>
    <w:lvl w:ilvl="0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58C06C1"/>
    <w:multiLevelType w:val="multilevel"/>
    <w:tmpl w:val="AC56D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37E25"/>
    <w:multiLevelType w:val="multilevel"/>
    <w:tmpl w:val="504A92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0329"/>
    <w:multiLevelType w:val="multilevel"/>
    <w:tmpl w:val="B56A2D9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85"/>
    <w:rsid w:val="00145DB0"/>
    <w:rsid w:val="00181210"/>
    <w:rsid w:val="00184990"/>
    <w:rsid w:val="001B6757"/>
    <w:rsid w:val="00215A8B"/>
    <w:rsid w:val="00262125"/>
    <w:rsid w:val="002B475E"/>
    <w:rsid w:val="003E5E2C"/>
    <w:rsid w:val="003F2185"/>
    <w:rsid w:val="00427F19"/>
    <w:rsid w:val="00521525"/>
    <w:rsid w:val="0058710B"/>
    <w:rsid w:val="005B2F02"/>
    <w:rsid w:val="005E7CA8"/>
    <w:rsid w:val="00610AA9"/>
    <w:rsid w:val="006A2AE1"/>
    <w:rsid w:val="00755E61"/>
    <w:rsid w:val="007D518F"/>
    <w:rsid w:val="00826B74"/>
    <w:rsid w:val="00881EFC"/>
    <w:rsid w:val="00890ADF"/>
    <w:rsid w:val="008D1461"/>
    <w:rsid w:val="008E7EA1"/>
    <w:rsid w:val="009976EC"/>
    <w:rsid w:val="009A6214"/>
    <w:rsid w:val="00A739B3"/>
    <w:rsid w:val="00A74E9D"/>
    <w:rsid w:val="00AF57BF"/>
    <w:rsid w:val="00B125BC"/>
    <w:rsid w:val="00B12F9C"/>
    <w:rsid w:val="00B30296"/>
    <w:rsid w:val="00B734E2"/>
    <w:rsid w:val="00B879FF"/>
    <w:rsid w:val="00C44608"/>
    <w:rsid w:val="00C609C0"/>
    <w:rsid w:val="00C67EE8"/>
    <w:rsid w:val="00C8479F"/>
    <w:rsid w:val="00CD7ECD"/>
    <w:rsid w:val="00DF56CC"/>
    <w:rsid w:val="00E23C2F"/>
    <w:rsid w:val="00E72878"/>
    <w:rsid w:val="00E817FD"/>
    <w:rsid w:val="00E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486B2"/>
  <w15:docId w15:val="{3B2F7A49-B631-4381-AE37-A7AA78A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3L3Vy/DweTF1/nl0K3joD6fqg==">AMUW2mXLyenGb+sDW+Iz0n3r474j2MchGRD8XIHT3cdLVjPWR364jJniPKTx9pHhYtdgX7WT2urD0uqIoSBdiHRkl5JzdaaNyDKM1KTVwS67olNuNZzulxCSp2iMK6kLomcI+SGAcwJI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 Hong  Nguyet - YHDP20</cp:lastModifiedBy>
  <cp:revision>3</cp:revision>
  <dcterms:created xsi:type="dcterms:W3CDTF">2021-07-04T01:52:00Z</dcterms:created>
  <dcterms:modified xsi:type="dcterms:W3CDTF">2021-07-04T02:56:00Z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