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03 tháng  07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Thông tin ca bệnh 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VÕ MINH THIỆN (con)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tính: Nam</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năm: 1999 (22 tuổi)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tịch: Việt Nam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CMND: </w:t>
      </w:r>
      <w:r w:rsidDel="00000000" w:rsidR="00000000" w:rsidRPr="00000000">
        <w:rPr>
          <w:rFonts w:ascii="Times New Roman" w:cs="Times New Roman" w:eastAsia="Times New Roman" w:hAnsi="Times New Roman"/>
          <w:sz w:val="28"/>
          <w:szCs w:val="28"/>
          <w:rtl w:val="0"/>
        </w:rPr>
        <w:t xml:space="preserve">352519351</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thường trú:</w:t>
      </w:r>
      <w:r w:rsidDel="00000000" w:rsidR="00000000" w:rsidRPr="00000000">
        <w:rPr>
          <w:rFonts w:ascii="Times New Roman" w:cs="Times New Roman" w:eastAsia="Times New Roman" w:hAnsi="Times New Roman"/>
          <w:sz w:val="28"/>
          <w:szCs w:val="28"/>
          <w:highlight w:val="white"/>
          <w:rtl w:val="0"/>
        </w:rPr>
        <w:t xml:space="preserve"> BN ở nhà trọ tầng 1, nhà trọ gồm 04 tầng, 12 phong,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14 đường số 4 phường An Lạc, Quận Bình Tân, Thành phố Hồ Chí Minh</w:t>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0" w:firstLine="0"/>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Số điện thoại:</w:t>
      </w:r>
      <w:r w:rsidDel="00000000" w:rsidR="00000000" w:rsidRPr="00000000">
        <w:rPr>
          <w:rFonts w:ascii="Times New Roman" w:cs="Times New Roman" w:eastAsia="Times New Roman" w:hAnsi="Times New Roman"/>
          <w:sz w:val="28"/>
          <w:szCs w:val="28"/>
          <w:rtl w:val="0"/>
        </w:rPr>
        <w:t xml:space="preserve">0329317356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Nghề nghiệp: công nhâ</w:t>
      </w:r>
      <w:r w:rsidDel="00000000" w:rsidR="00000000" w:rsidRPr="00000000">
        <w:rPr>
          <w:rFonts w:ascii="Times New Roman" w:cs="Times New Roman" w:eastAsia="Times New Roman" w:hAnsi="Times New Roman"/>
          <w:sz w:val="28"/>
          <w:szCs w:val="28"/>
          <w:highlight w:val="whit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công ty nhựa Duy Tân. Địa chỉ: 298 Hồ Học Lãm phường Duy Tân TP Hồ Chí Minh. </w:t>
      </w:r>
      <w:r w:rsidDel="00000000" w:rsidR="00000000" w:rsidRPr="00000000">
        <w:rPr>
          <w:rFonts w:ascii="Times New Roman" w:cs="Times New Roman" w:eastAsia="Times New Roman" w:hAnsi="Times New Roman"/>
          <w:sz w:val="28"/>
          <w:szCs w:val="28"/>
          <w:rtl w:val="0"/>
        </w:rPr>
        <w:t xml:space="preserve">BN làm ở Xưởng ép.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Tôn giáo: Phật giáo</w:t>
      </w:r>
      <w:r w:rsidDel="00000000" w:rsidR="00000000" w:rsidRPr="00000000">
        <w:rPr>
          <w:rtl w:val="0"/>
        </w:rPr>
      </w:r>
    </w:p>
    <w:p w:rsidR="00000000" w:rsidDel="00000000" w:rsidP="00000000" w:rsidRDefault="00000000" w:rsidRPr="00000000" w14:paraId="0000001B">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Yếu tố dịch tễ: chung nhà trọ có chủ nhà trọ tầng 1 tên Hoà là F0, bệnh nhân ở tầng 1.</w:t>
      </w:r>
      <w:r w:rsidDel="00000000" w:rsidR="00000000" w:rsidRPr="00000000">
        <w:rPr>
          <w:rtl w:val="0"/>
        </w:rPr>
      </w:r>
    </w:p>
    <w:p w:rsidR="00000000" w:rsidDel="00000000" w:rsidP="00000000" w:rsidRDefault="00000000" w:rsidRPr="00000000" w14:paraId="0000001C">
      <w:pPr>
        <w:shd w:fill="ffffff" w:val="clear"/>
        <w:spacing w:after="120" w:before="240" w:line="276"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sử dịch tễ:</w:t>
      </w:r>
    </w:p>
    <w:p w:rsidR="00000000" w:rsidDel="00000000" w:rsidP="00000000" w:rsidRDefault="00000000" w:rsidRPr="00000000" w14:paraId="0000001D">
      <w:pPr>
        <w:shd w:fill="ffffff" w:val="clear"/>
        <w:spacing w:after="120" w:before="240" w:line="276"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19/6-2/7/2021:</w:t>
      </w:r>
    </w:p>
    <w:p w:rsidR="00000000" w:rsidDel="00000000" w:rsidP="00000000" w:rsidRDefault="00000000" w:rsidRPr="00000000" w14:paraId="0000001E">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Bệnh nhân cách ly trong khu phong toả khu phố 2 .</w:t>
      </w:r>
    </w:p>
    <w:p w:rsidR="00000000" w:rsidDel="00000000" w:rsidP="00000000" w:rsidRDefault="00000000" w:rsidRPr="00000000" w14:paraId="0000001F">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mẫu xét nghiệm 3 lần lần cuối vào ngày 30/6 có kết quả dương tính ngày 2/7.</w:t>
      </w:r>
    </w:p>
    <w:p w:rsidR="00000000" w:rsidDel="00000000" w:rsidP="00000000" w:rsidRDefault="00000000" w:rsidRPr="00000000" w14:paraId="00000020">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gian phong toả bệnh nhân sinh hoạt tại phòng, ở cùng NGUYỄN THỊ GẠO ( mẹ ) 1975. không tiếp xúc hàng xóm.  </w:t>
      </w:r>
    </w:p>
    <w:p w:rsidR="00000000" w:rsidDel="00000000" w:rsidP="00000000" w:rsidRDefault="00000000" w:rsidRPr="00000000" w14:paraId="00000021">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tập thể dục, không sinh hoạt tôn giáo trong thời gian cách ly.</w:t>
      </w:r>
    </w:p>
    <w:p w:rsidR="00000000" w:rsidDel="00000000" w:rsidP="00000000" w:rsidRDefault="00000000" w:rsidRPr="00000000" w14:paraId="00000022">
      <w:pPr>
        <w:shd w:fill="ffffff" w:val="clear"/>
        <w:spacing w:after="120" w:before="240" w:line="276"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3/7/2021: </w:t>
      </w:r>
      <w:r w:rsidDel="00000000" w:rsidR="00000000" w:rsidRPr="00000000">
        <w:rPr>
          <w:rFonts w:ascii="Times New Roman" w:cs="Times New Roman" w:eastAsia="Times New Roman" w:hAnsi="Times New Roman"/>
          <w:sz w:val="28"/>
          <w:szCs w:val="28"/>
          <w:rtl w:val="0"/>
        </w:rPr>
        <w:t xml:space="preserve">Bệnh nhân được chuyển sang khu cách ly tại Thủ Đức, lấy mẫu XN Chiều 3/7</w:t>
      </w:r>
    </w:p>
    <w:p w:rsidR="00000000" w:rsidDel="00000000" w:rsidP="00000000" w:rsidRDefault="00000000" w:rsidRPr="00000000" w14:paraId="00000023">
      <w:pPr>
        <w:shd w:fill="ffffff" w:val="clear"/>
        <w:spacing w:after="120" w:line="276"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Bệnh nhân chưa xuất hiện triệu chứng Covid-19.</w:t>
      </w:r>
      <w:r w:rsidDel="00000000" w:rsidR="00000000" w:rsidRPr="00000000">
        <w:rPr>
          <w:rtl w:val="0"/>
        </w:rPr>
      </w:r>
    </w:p>
    <w:p w:rsidR="00000000" w:rsidDel="00000000" w:rsidP="00000000" w:rsidRDefault="00000000" w:rsidRPr="00000000" w14:paraId="00000024">
      <w:pPr>
        <w:spacing w:after="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Thông tin ca bệnh 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NGUYỄN THỊ GẠO  ( mẹ)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năm:  1975 ( 46 tuổi)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Sđt : 0767890255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tịch: Việt Nam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CMND:  351093462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Tôn giáo: Phật giáo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Nghề nghiệp: nội trợ</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Tiền sử bệnh lý: viêm dạ dày, viêm đại tràng.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thường trú: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14 đường số 4 phường An Lạc, Quận Bình Tân, Thành phố Hồ Chí Minh</w:t>
      </w:r>
    </w:p>
    <w:p w:rsidR="00000000" w:rsidDel="00000000" w:rsidP="00000000" w:rsidRDefault="00000000" w:rsidRPr="00000000" w14:paraId="0000002E">
      <w:pPr>
        <w:numPr>
          <w:ilvl w:val="0"/>
          <w:numId w:val="3"/>
        </w:numPr>
        <w:shd w:fill="ffffff" w:val="clear"/>
        <w:spacing w:after="0" w:afterAutospacing="0" w:line="24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Yếu tố liên quan: nhà trọ BN ngày 20/06/2021 ghi nhận ca dương tính đầu tiên là chủ nhà trọ (BN Trương Văn Hòa), sau đó phát sinh vài ca mới nữa (số lượng không rõ). BN được lấy mẫu XN 03 lần, lần lượt các lần lấy mẫu XN như sau:</w:t>
      </w:r>
      <w:r w:rsidDel="00000000" w:rsidR="00000000" w:rsidRPr="00000000">
        <w:rPr>
          <w:rtl w:val="0"/>
        </w:rPr>
      </w:r>
    </w:p>
    <w:p w:rsidR="00000000" w:rsidDel="00000000" w:rsidP="00000000" w:rsidRDefault="00000000" w:rsidRPr="00000000" w14:paraId="0000002F">
      <w:pPr>
        <w:widowControl w:val="0"/>
        <w:numPr>
          <w:ilvl w:val="0"/>
          <w:numId w:val="2"/>
        </w:numPr>
        <w:shd w:fill="ffffff" w:val="clear"/>
        <w:spacing w:after="0" w:after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17/06/2021: BN được lấy mẫu XN lần 1 (mẫu gộp) theo diện tầm soát cộng đồng, kết quả không rõ.</w:t>
      </w:r>
    </w:p>
    <w:p w:rsidR="00000000" w:rsidDel="00000000" w:rsidP="00000000" w:rsidRDefault="00000000" w:rsidRPr="00000000" w14:paraId="00000030">
      <w:pPr>
        <w:widowControl w:val="0"/>
        <w:numPr>
          <w:ilvl w:val="0"/>
          <w:numId w:val="2"/>
        </w:numPr>
        <w:shd w:fill="ffffff" w:val="clear"/>
        <w:spacing w:after="0" w:afterAutospacing="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19/06/2021: BN được lấy mẫu xét nghiệm lần 2 (mẫu gộp) theo diện mở rộng khu vực phong tỏa có ca dương, kết quả không rõ.</w:t>
      </w:r>
    </w:p>
    <w:p w:rsidR="00000000" w:rsidDel="00000000" w:rsidP="00000000" w:rsidRDefault="00000000" w:rsidRPr="00000000" w14:paraId="00000031">
      <w:pPr>
        <w:widowControl w:val="0"/>
        <w:numPr>
          <w:ilvl w:val="0"/>
          <w:numId w:val="2"/>
        </w:numPr>
        <w:shd w:fill="ffffff" w:val="clear"/>
        <w:spacing w:after="12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30/06/2021: BN được lấy mẫu xét nghiệm lần 3 theo diện khu nhà trọ BN có ca dương tính (nhà trọ là tòa nhà gồm 12 tầng, không phải dãy trọ)</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Tiền sử dịch tễ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Bệnh nhân được lấy mẫu 3 lần tại Khu phố 2. Lần 3 lấy ngày 30 tháng 6 năm 2021 và có kết quả dương tính mẫu</w:t>
      </w:r>
      <w:r w:rsidDel="00000000" w:rsidR="00000000" w:rsidRPr="00000000">
        <w:rPr>
          <w:rFonts w:ascii="Times New Roman" w:cs="Times New Roman" w:eastAsia="Times New Roman" w:hAnsi="Times New Roman"/>
          <w:sz w:val="28"/>
          <w:szCs w:val="28"/>
          <w:highlight w:val="white"/>
          <w:rtl w:val="0"/>
        </w:rPr>
        <w:t xml:space="preserve"> đợn ngày 2/7/2021</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Nơi ở Khu phố 2 được phong tỏa từ ngày 19 tháng 06 do có ca dương tính.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thời gian phong tỏa bệnh nhân c</w:t>
      </w:r>
      <w:r w:rsidDel="00000000" w:rsidR="00000000" w:rsidRPr="00000000">
        <w:rPr>
          <w:rFonts w:ascii="Times New Roman" w:cs="Times New Roman" w:eastAsia="Times New Roman" w:hAnsi="Times New Roman"/>
          <w:sz w:val="28"/>
          <w:szCs w:val="28"/>
          <w:rtl w:val="0"/>
        </w:rPr>
        <w:t xml:space="preserve">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xuống nhà lấy đồ ăn</w:t>
      </w:r>
      <w:r w:rsidDel="00000000" w:rsidR="00000000" w:rsidRPr="00000000">
        <w:rPr>
          <w:rFonts w:ascii="Times New Roman" w:cs="Times New Roman" w:eastAsia="Times New Roman" w:hAnsi="Times New Roman"/>
          <w:sz w:val="28"/>
          <w:szCs w:val="28"/>
          <w:rtl w:val="0"/>
        </w:rPr>
        <w:t xml:space="preserve"> không tiếp xúc với người giao, không tiếp xúc hàng xóm, không mua thêm đồ ăn ở ngoài, không tiếp xúc hàng xóm.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56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Bệnh nhân chưa xuất hiện triệu chứng gì và 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 được lấy mẫu đơn.</w:t>
      </w: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8">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w:t>
      </w:r>
      <w:r w:rsidDel="00000000" w:rsidR="00000000" w:rsidRPr="00000000">
        <w:rPr>
          <w:rFonts w:ascii="Times New Roman" w:cs="Times New Roman" w:eastAsia="Times New Roman" w:hAnsi="Times New Roman"/>
          <w:sz w:val="26"/>
          <w:szCs w:val="26"/>
          <w:rtl w:val="0"/>
        </w:rPr>
        <w:t xml:space="preserve">tại KTX ĐHQG</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39">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3C">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E">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0">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2">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6">
            <w:pPr>
              <w:numPr>
                <w:ilvl w:val="0"/>
                <w:numId w:val="6"/>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7">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4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rPr>
      <w:rFonts w:ascii="Arial" w:cs="Arial" w:eastAsia="Arial" w:hAnsi="Arial"/>
    </w:rPr>
    <w:tblPr>
      <w:tblStyleRowBandSize w:val="1"/>
      <w:tblStyleColBandSize w:val="1"/>
      <w:tblCellMar>
        <w:left w:w="115.0" w:type="dxa"/>
        <w:right w:w="115.0" w:type="dxa"/>
      </w:tblCellMar>
    </w:tblPr>
  </w:style>
  <w:style w:type="table" w:styleId="a3" w:customStyle="1">
    <w:basedOn w:val="TableNormal"/>
    <w:rPr>
      <w:rFonts w:ascii="Arial" w:cs="Arial" w:eastAsia="Arial" w:hAnsi="Arial"/>
    </w:rPr>
    <w:tblPr>
      <w:tblStyleRowBandSize w:val="1"/>
      <w:tblStyleColBandSize w:val="1"/>
      <w:tblCellMar>
        <w:left w:w="115.0" w:type="dxa"/>
        <w:right w:w="115.0" w:type="dxa"/>
      </w:tblCellMar>
    </w:tblPr>
  </w:style>
  <w:style w:type="table" w:styleId="a4" w:customStyle="1">
    <w:basedOn w:val="TableNormal"/>
    <w:rPr>
      <w:rFonts w:ascii="Arial" w:cs="Arial" w:eastAsia="Arial" w:hAnsi="Arial"/>
    </w:rPr>
    <w:tblPr>
      <w:tblStyleRowBandSize w:val="1"/>
      <w:tblStyleColBandSize w:val="1"/>
      <w:tblCellMar>
        <w:left w:w="115.0" w:type="dxa"/>
        <w:right w:w="115.0" w:type="dxa"/>
      </w:tblCellMar>
    </w:tblPr>
  </w:style>
  <w:style w:type="table" w:styleId="a5" w:customStyle="1">
    <w:basedOn w:val="TableNormal"/>
    <w:rPr>
      <w:rFonts w:ascii="Arial" w:cs="Arial" w:eastAsia="Arial" w:hAnsi="Arial"/>
    </w:rPr>
    <w:tblPr>
      <w:tblStyleRowBandSize w:val="1"/>
      <w:tblStyleColBandSize w:val="1"/>
      <w:tblCellMar>
        <w:left w:w="115.0" w:type="dxa"/>
        <w:right w:w="115.0" w:type="dxa"/>
      </w:tblCellMar>
    </w:tblPr>
  </w:style>
  <w:style w:type="table" w:styleId="a6" w:customStyle="1">
    <w:basedOn w:val="TableNormal"/>
    <w:rPr>
      <w:rFonts w:ascii="Arial" w:cs="Arial" w:eastAsia="Arial" w:hAnsi="Arial"/>
    </w:rPr>
    <w:tblPr>
      <w:tblStyleRowBandSize w:val="1"/>
      <w:tblStyleColBandSize w:val="1"/>
      <w:tblCellMar>
        <w:left w:w="115.0" w:type="dxa"/>
        <w:right w:w="115.0" w:type="dxa"/>
      </w:tblCellMar>
    </w:tblPr>
  </w:style>
  <w:style w:type="table" w:styleId="a7" w:customStyle="1">
    <w:basedOn w:val="TableNormal"/>
    <w:rPr>
      <w:rFonts w:ascii="Arial" w:cs="Arial" w:eastAsia="Arial" w:hAnsi="Arial"/>
    </w:rPr>
    <w:tblPr>
      <w:tblStyleRowBandSize w:val="1"/>
      <w:tblStyleColBandSize w:val="1"/>
      <w:tblCellMar>
        <w:left w:w="115.0" w:type="dxa"/>
        <w:right w:w="115.0" w:type="dxa"/>
      </w:tblCellMar>
    </w:tblPr>
  </w:style>
  <w:style w:type="table" w:styleId="a8" w:customStyle="1">
    <w:basedOn w:val="TableNormal"/>
    <w:rPr>
      <w:rFonts w:ascii="Arial" w:cs="Arial" w:eastAsia="Arial" w:hAnsi="Arial"/>
    </w:rPr>
    <w:tblPr>
      <w:tblStyleRowBandSize w:val="1"/>
      <w:tblStyleColBandSize w:val="1"/>
      <w:tblCellMar>
        <w:left w:w="115.0" w:type="dxa"/>
        <w:right w:w="115.0" w:type="dxa"/>
      </w:tblCellMar>
    </w:tblPr>
  </w:style>
  <w:style w:type="table" w:styleId="a9" w:customStyle="1">
    <w:basedOn w:val="TableNormal"/>
    <w:rPr>
      <w:rFonts w:ascii="Arial" w:cs="Arial" w:eastAsia="Arial" w:hAnsi="Arial"/>
    </w:rPr>
    <w:tblPr>
      <w:tblStyleRowBandSize w:val="1"/>
      <w:tblStyleColBandSize w:val="1"/>
      <w:tblCellMar>
        <w:left w:w="115.0" w:type="dxa"/>
        <w:right w:w="115.0" w:type="dxa"/>
      </w:tblCellMar>
    </w:tblPr>
  </w:style>
  <w:style w:type="table" w:styleId="aa" w:customStyle="1">
    <w:basedOn w:val="TableNormal"/>
    <w:rPr>
      <w:rFonts w:ascii="Arial" w:cs="Arial" w:eastAsia="Arial" w:hAnsi="Arial"/>
    </w:rPr>
    <w:tblPr>
      <w:tblStyleRowBandSize w:val="1"/>
      <w:tblStyleColBandSize w:val="1"/>
      <w:tblCellMar>
        <w:left w:w="115.0" w:type="dxa"/>
        <w:right w:w="115.0" w:type="dxa"/>
      </w:tblCellMar>
    </w:tblPr>
  </w:style>
  <w:style w:type="table" w:styleId="ab" w:customStyle="1">
    <w:basedOn w:val="TableNormal"/>
    <w:rPr>
      <w:rFonts w:ascii="Arial" w:cs="Arial" w:eastAsia="Arial" w:hAnsi="Arial"/>
    </w:rPr>
    <w:tblPr>
      <w:tblStyleRowBandSize w:val="1"/>
      <w:tblStyleColBandSize w:val="1"/>
      <w:tblCellMar>
        <w:left w:w="115.0" w:type="dxa"/>
        <w:right w:w="115.0" w:type="dxa"/>
      </w:tblCellMar>
    </w:tblPr>
  </w:style>
  <w:style w:type="table" w:styleId="ac" w:customStyle="1">
    <w:basedOn w:val="TableNormal"/>
    <w:rPr>
      <w:rFonts w:ascii="Arial" w:cs="Arial" w:eastAsia="Arial" w:hAnsi="Arial"/>
    </w:rPr>
    <w:tblPr>
      <w:tblStyleRowBandSize w:val="1"/>
      <w:tblStyleColBandSize w:val="1"/>
      <w:tblCellMar>
        <w:left w:w="115.0" w:type="dxa"/>
        <w:right w:w="115.0" w:type="dxa"/>
      </w:tblCellMar>
    </w:tblPr>
  </w:style>
  <w:style w:type="table" w:styleId="ad" w:customStyle="1">
    <w:basedOn w:val="TableNormal"/>
    <w:rPr>
      <w:rFonts w:ascii="Arial" w:cs="Arial" w:eastAsia="Arial" w:hAnsi="Arial"/>
    </w:rPr>
    <w:tblPr>
      <w:tblStyleRowBandSize w:val="1"/>
      <w:tblStyleColBandSize w:val="1"/>
      <w:tblCellMar>
        <w:left w:w="115.0" w:type="dxa"/>
        <w:right w:w="115.0" w:type="dxa"/>
      </w:tblCellMar>
    </w:tblPr>
  </w:style>
  <w:style w:type="paragraph" w:styleId="Normal1" w:customStyle="1">
    <w:name w:val="Normal1"/>
    <w:qFormat w:val="1"/>
    <w:rsid w:val="00784615"/>
    <w:pPr>
      <w:widowControl w:val="0"/>
      <w:spacing w:after="200" w:line="276" w:lineRule="auto"/>
    </w:pPr>
    <w:rPr>
      <w:rFonts w:ascii="Times New Roman" w:cs="Times New Roman" w:eastAsia="Times New Roman" w:hAnsi="Times New Roman"/>
      <w:color w:val="000000"/>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3Ip99ZNf4qFmCnyw9u23uxk1w==">AMUW2mXq9LH5qSXolXFyU1xyiAb+MPh5izCjlZ//sL5YPs7dwwcwAlZ4E2PN8T3xNykGg8ZdpzjvNDMWTQKA/5W56NA12thd2SrEl/wcRo8EJSKC5MIxASeIXSrsHefk+y4xc0R8rXlb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2021-07-03T09:04:00Z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