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00 phút, ngày 02/07/2021.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NGỌC QUAN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nam, sinh năm 1982, quốc tịch: Việt Nam</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Chứng minh nhân dân: không mang theo</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80/72/20 Hoàng Hoa Thám, phường 7, quận Bình Thạnh.</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an trại giam Chí Hòa - 324 Đ. Hoà Hưng, Phường 12, Quận 10, Thành phố Hồ Chí Minh.</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0909397771</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ngày 29/06/2021 ở tại trạm giam Chí Hòa theo diện lấy mẫu toàn trại giam và có kết quả XN âm tính với SARS-CoV-2.</w:t>
      </w:r>
    </w:p>
    <w:p w:rsidR="00000000" w:rsidDel="00000000" w:rsidP="00000000" w:rsidRDefault="00000000" w:rsidRPr="00000000" w14:paraId="0000001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ngày 01/07/2021 ở trạm giam Chí Hòa do trạm giam có ca dương tính và có kết quả XN dương tính với SARS-CoV-2.</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nhà với:</w:t>
      </w:r>
    </w:p>
    <w:p w:rsidR="00000000" w:rsidDel="00000000" w:rsidP="00000000" w:rsidRDefault="00000000" w:rsidRPr="00000000" w14:paraId="0000001D">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 – Nguyễn Hữu Vinh (1958) – sđt: 0908369331</w:t>
      </w:r>
    </w:p>
    <w:p w:rsidR="00000000" w:rsidDel="00000000" w:rsidP="00000000" w:rsidRDefault="00000000" w:rsidRPr="00000000" w14:paraId="0000001E">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 - Trần Thị Thanh (1958) </w:t>
      </w:r>
    </w:p>
    <w:p w:rsidR="00000000" w:rsidDel="00000000" w:rsidP="00000000" w:rsidRDefault="00000000" w:rsidRPr="00000000" w14:paraId="0000001F">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 Nguyễn Ngọc Anh Thư (2012)</w:t>
      </w:r>
    </w:p>
    <w:p w:rsidR="00000000" w:rsidDel="00000000" w:rsidP="00000000" w:rsidRDefault="00000000" w:rsidRPr="00000000" w14:paraId="00000020">
      <w:pPr>
        <w:widowControl w:val="0"/>
        <w:spacing w:after="0" w:line="360" w:lineRule="auto"/>
        <w:ind w:firstLine="709"/>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 Nguyễn Trần Quang Huy (2014) hiện khu nhà đã phong tỏa và đang cách ly tại nhà.</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 – 01/07/2021,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ăn ở và làm việc tại đội quản giáo trại giam Chí Hòa - 324 Đ. Hoà Hưng, Phường 12, Quận 10, Thành phố Hồ Chí Minh.</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ngủ chung cùng với đồng nghiệp chung phòng (tầm 7-8 người), mỗi người một giường, ăn uống chung, sử dụng chung nhà vệ sinh, sinh hoạt gần nhau.</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 nhiễm làm chung đội với BN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không cung cấp thông tin ca nhiễm và số người trong đội).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buổi sáng BN có về nhà một lần khoảng 15 phút, sau đó quay lại đơn vị. (T</w:t>
      </w:r>
      <w:r w:rsidDel="00000000" w:rsidR="00000000" w:rsidRPr="00000000">
        <w:rPr>
          <w:rFonts w:ascii="Times New Roman" w:cs="Times New Roman" w:eastAsia="Times New Roman" w:hAnsi="Times New Roman"/>
          <w:sz w:val="26"/>
          <w:szCs w:val="26"/>
          <w:rtl w:val="0"/>
        </w:rPr>
        <w:t xml:space="preserve">iếp xúc với 4 người trong nhà)</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Ngày 27/6/2021 đi làm tại đơn vị, lúc 17 giờ có ra ngoài mua bún và rau tại sạp rau chợ Hòa Hưng ngay đường Tô Hiến Thành đối diện với nhà thờ khoảng 3 phút.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02/07/2021, BN được chuyển đến KCL KTX Đại học quốc gia.</w:t>
      </w:r>
    </w:p>
    <w:p w:rsidR="00000000" w:rsidDel="00000000" w:rsidP="00000000" w:rsidRDefault="00000000" w:rsidRPr="00000000" w14:paraId="0000002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không có</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KTX Đại học quốc gia.</w:t>
      </w:r>
      <w:r w:rsidDel="00000000" w:rsidR="00000000" w:rsidRPr="00000000">
        <w:rPr>
          <w:rtl w:val="0"/>
        </w:rPr>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9">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WjEVIsWTqB/5AaLP3UdoEte84A==">AMUW2mWtt0fC+6KpO1zebL8R2R3z3NJXZj/EGNT/LXwRpzmlJrDIpJDK+G6psZ1nXnz0ali5Dvdx0x3FHzg8QT68vml0HsZN6VpxwRjqupfGhP6/ZPUQc0Gpl8B4AkKM2evBSMv8QH1+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2021-07-03T02:12:00Z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