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HUỲNH THỊ THANH PHỤNG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2004,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079304021729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195/3 Nguyễn Duy Cung, phường 12, Gò Vấp,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Học sinh (đã nghỉ học từ khoảng 10/05/2021)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 0903153280 (bố)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Yếu tố dịch tễ: con gái BN Võ Thị Thanh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úc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 tiếp xúc ca dương trong công ty Đan Thanh, phường Tân Thới Nhất, quận 12, TPHCM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. Ngày tiếp xúc cuối 28/06/2021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trọ tại 176 Nguyễn Thượng Hiền, Phường 1, Gò Vấp, TP HCM cùng gia đình gồm bố, mẹ và BN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BN đã được nghỉ học và chỉ ở nhà.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30/06/2021, BN được chuyển tới BV Gò Vấp.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chưa có triệu chứng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Lập danh sách các trường hợp tiếp xúc gần với BN (F1); lấy mẫu xét nghiệm và chuyển cách ly tập trung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h8WYtN4fE+EPFmaSOqySddzDw==">AMUW2mXITPQCWxrjRma4G3+vs2xbLATnOYumIg0NcWh4x36cPujxzdQp77FSphJ4vu+If//P13bWcl2FrYX/9nWgX8xRHXir72U7qMHiflC++ekd5/KQMUKnU/4Otmq0u2UR4aL82XpX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