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00 phút ngày 28/06/2021.</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TRỊNH THỊ NGA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nam, sinh năm 1969, quốc tịch: Việt Nam, </w:t>
      </w:r>
      <w:r w:rsidDel="00000000" w:rsidR="00000000" w:rsidRPr="00000000">
        <w:rPr>
          <w:rFonts w:ascii="Times New Roman" w:cs="Times New Roman" w:eastAsia="Times New Roman" w:hAnsi="Times New Roman"/>
          <w:sz w:val="26"/>
          <w:szCs w:val="26"/>
          <w:rtl w:val="0"/>
        </w:rPr>
        <w:t xml:space="preserve">Chứng minh nhân dân: 340660739</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Roboto" w:cs="Roboto" w:eastAsia="Roboto" w:hAnsi="Roboto"/>
          <w:color w:val="000000"/>
          <w:sz w:val="20"/>
          <w:szCs w:val="20"/>
          <w:highlight w:val="white"/>
          <w:rtl w:val="0"/>
        </w:rPr>
        <w:t xml:space="preserve">822 Trần Văn Giàu- Tân tạo A- Bình Tân- TPHCM</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phục vụ</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Roboto" w:cs="Roboto" w:eastAsia="Roboto" w:hAnsi="Roboto"/>
          <w:color w:val="000000"/>
          <w:sz w:val="20"/>
          <w:szCs w:val="20"/>
          <w:highlight w:val="white"/>
          <w:rtl w:val="0"/>
        </w:rPr>
        <w:t xml:space="preserve"> 965767397</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15/06/2021 theo diện lấy mẫu toàn công ty, lần 2 ngày 21/6/2021 (mẫu gộp của ba người trong phòng) ngày 24/6/2021 xét nghiệm mẫu đơn của 3 người thì có một người trong phòng dương tính nên tách riêng, ngày 25/6/2021: BN làm xét nghiệm mẫu đơn, ngày 26/6/2021 trả kết quả dương tính với Sar-CoV-2.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BN cách ly tại KTX Đại học quốc gia.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sz w:val="26"/>
          <w:szCs w:val="26"/>
          <w:rtl w:val="0"/>
        </w:rPr>
        <w:t xml:space="preserve">BN sống tại nhà trọ của công ty Trung Sơn tại địa chỉ </w:t>
      </w:r>
      <w:r w:rsidDel="00000000" w:rsidR="00000000" w:rsidRPr="00000000">
        <w:rPr>
          <w:rFonts w:ascii="Roboto" w:cs="Roboto" w:eastAsia="Roboto" w:hAnsi="Roboto"/>
          <w:color w:val="000000"/>
          <w:sz w:val="20"/>
          <w:szCs w:val="20"/>
          <w:highlight w:val="white"/>
          <w:rtl w:val="0"/>
        </w:rPr>
        <w:t xml:space="preserve">822 Trần Văn Giàu- Tân tạo A- Bình Tân- TPHCM  </w:t>
      </w:r>
      <w:r w:rsidDel="00000000" w:rsidR="00000000" w:rsidRPr="00000000">
        <w:rPr>
          <w:rFonts w:ascii="Times New Roman" w:cs="Times New Roman" w:eastAsia="Times New Roman" w:hAnsi="Times New Roman"/>
          <w:color w:val="000000"/>
          <w:sz w:val="26"/>
          <w:szCs w:val="26"/>
          <w:highlight w:val="white"/>
          <w:rtl w:val="0"/>
        </w:rPr>
        <w:t xml:space="preserve">con gái là Ngô Thị Hồng Loan (1990) (0935562449) (công nhân công ty Pouyuen) , con rể Lê Bảo Huynh (0971119492), cháu trai Ngô Bảo Khang (2018), cháu gái là Ngô Thiên An (2020).</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1/6/2021-14/6/2021: BN đi làm từ 6h sáng đến 19h tối từ thứ 2 đến thứ 7 tại bộ phận phục vụ công ty đông lạnh thủy hải sản Trung Sơn. Công việc hàng ngày của BN theo quy trình sau: BN làm công việc soạn đồ, lấy đồ bảo hộ cho công nhân trước khi vào xưởng làm việc. BN thường tiếp xúc với chị Hồng, anh Hải (phòng kiểm nghiệm). BN ăn trưa tại công ty ca 11h30-12h30, mỗi lần đi ăn theo nhóm 2-3 người.</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bằng xe đạp. BN thường ăn sáng nhà.</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 BN thường ăn tối tại công ty do đi làm về trễ 19h công ty có suất ăn tối cho công nhân.</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14/6/2021-16/6/2021: BN cách ly tại công ty Trung Sơn.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16/6/2021: BN cách ly tại KTX Đại học Quốc Gia.</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26/6/2021: BN có triệu chứng sổ mũi, đau họng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viêm xoang. </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KTX ĐHQG</w:t>
      </w: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syw7bpUSbtwCexKwJ/B0QnYGaw==">AMUW2mWw2Ri14hfd1eqVkjeBfUjXiSeIJdxo3hwdlP0BRKqINVL7T1fBIhhyr2XUjVd1f3QTsl7BfhsZHvDpjyNDmVoO9N387lm7Q5xE6p0bPzk+sR1lheQ=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2021-06-28T02:37:00Z</dcterms:created>
  <dc:creator>admin</dc:creator>
</cp:coreProperties>
</file>