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15244</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12 giờ 00 phút ngày 26/06/2021.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HOÀI PHÚC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15244</w:t>
      </w:r>
      <w:r w:rsidDel="00000000" w:rsidR="00000000" w:rsidRPr="00000000">
        <w:rPr>
          <w:rFonts w:ascii="Times New Roman" w:cs="Times New Roman" w:eastAsia="Times New Roman" w:hAnsi="Times New Roman"/>
          <w:color w:val="000000"/>
          <w:sz w:val="26"/>
          <w:szCs w:val="26"/>
          <w:rtl w:val="0"/>
        </w:rPr>
        <w:t xml:space="preserve">), nam, sinh năm 2003, quốc tịch: Việt Nam, </w:t>
      </w:r>
      <w:r w:rsidDel="00000000" w:rsidR="00000000" w:rsidRPr="00000000">
        <w:rPr>
          <w:rFonts w:ascii="Times New Roman" w:cs="Times New Roman" w:eastAsia="Times New Roman" w:hAnsi="Times New Roman"/>
          <w:sz w:val="26"/>
          <w:szCs w:val="26"/>
          <w:rtl w:val="0"/>
        </w:rPr>
        <w:t xml:space="preserve">Chứng minh nhân dân: 276024459</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657 Trần Văn Giàu - tân tạo - bình tân - TP HCM</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bộ phận line 3-D1 </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w:cs="Roboto" w:eastAsia="Roboto" w:hAnsi="Roboto"/>
          <w:color w:val="000000"/>
          <w:sz w:val="20"/>
          <w:szCs w:val="20"/>
          <w:highlight w:val="white"/>
          <w:rtl w:val="0"/>
        </w:rPr>
        <w:t xml:space="preserve">0327309456</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15/06/2021 theo diện lấy mẫu toàn công ty, lần 2 ngày 21/6/2021 và lần 3 ngày 24/6/2021 tại khu cách ly KTX ĐHQG. Ngày 21/6/2021, BN cách ly tại KTX ĐHQG</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sz w:val="26"/>
          <w:szCs w:val="26"/>
          <w:rtl w:val="0"/>
        </w:rPr>
        <w:t xml:space="preserve">BN sống tại nhà trọ số </w:t>
      </w:r>
      <w:r w:rsidDel="00000000" w:rsidR="00000000" w:rsidRPr="00000000">
        <w:rPr>
          <w:rFonts w:ascii="Times New Roman" w:cs="Times New Roman" w:eastAsia="Times New Roman" w:hAnsi="Times New Roman"/>
          <w:color w:val="000000"/>
          <w:sz w:val="26"/>
          <w:szCs w:val="26"/>
          <w:highlight w:val="white"/>
          <w:rtl w:val="0"/>
        </w:rPr>
        <w:t xml:space="preserve">657 Trần Văn Giàu - tân tạo - bình tân - TP HCM</w:t>
      </w:r>
      <w:r w:rsidDel="00000000" w:rsidR="00000000" w:rsidRPr="00000000">
        <w:rPr>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cùng với 2 công nhân làm chung Công Ty Trung Sơn là Phạm Tuấn Thanh (đã dương tính) (0962722304) và Lê Minh Hải.</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1/6/2021-14/6/2021: BN đi làm từ 6h sáng đến 18h tối từ thứ 2 đến thứ 7 tại bộ phận đóng gói sản phẩm line 3-D1 công ty đông lạnh thủy hải sản Trung Sơn. Công việc hàng ngày của BN theo quy trình sau: BN làm trong phòng bao gồm hơn 30 người. Thường tiếp xúc và làm việc gần với anh Lê Văn Luân (0366966504) và Trần Xuân Nhật.. BN ăn trưa tại công ty ca 11h30-12h30, mỗi lần đi ăn theo nhóm 2-3 người.</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bằng xe máy. BN thường ăn sáng tại cổng công ty Trung Sơn. </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về thường ghé mua đồ ăn tối vỉa hè dọc đường Số 7 nối dài, Tân Tạo A, Bình Tân.</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15/6/2021-20/6/2021: BN cách ly tại công ty Trung Sơn.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21/6/2021: BN cách ly tại KTX Đại học Quốc Gia.</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b w:val="1"/>
          <w:sz w:val="26"/>
          <w:szCs w:val="26"/>
        </w:rPr>
      </w:pPr>
      <w:r w:rsidDel="00000000" w:rsidR="00000000" w:rsidRPr="00000000">
        <w:rPr>
          <w:b w:val="1"/>
          <w:sz w:val="26"/>
          <w:szCs w:val="26"/>
          <w:rtl w:val="0"/>
        </w:rPr>
        <w:t xml:space="preserve">Triệu chứng lâm sàng: </w:t>
      </w:r>
      <w:r w:rsidDel="00000000" w:rsidR="00000000" w:rsidRPr="00000000">
        <w:rPr>
          <w:sz w:val="26"/>
          <w:szCs w:val="26"/>
          <w:rtl w:val="0"/>
        </w:rPr>
        <w:t xml:space="preserve">ngày 25/6/2021: BN có triệu chứng sốt cao, mệt mỏi, nhức đầu, sổ mũi, ho, mất vị giác.</w:t>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KTX ĐHQG</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3rqvGxMrmL+Hq8LV3r2J2wipw==">AMUW2mVdy11bDJ2yIJLsQEr3/KwT97jnLp/QB/EbwVNt3h6lsG51YdnjlPg8IhgWGsOJ18Q/j0ovUibqmxujyq9fsKus8X+oGEfqvcOyZmiSQvtx1zldjTQ=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2021-06-26T07:07:00Z</dcterms:created>
  <dc:creator>admin</dc:creator>
</cp:coreProperties>
</file>