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13757</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13757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14 giờ 00 phút, ngày 22/6/2021.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TRẦN TRUNG KHÁNH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BN13757</w:t>
      </w:r>
      <w:r w:rsidDel="00000000" w:rsidR="00000000" w:rsidRPr="00000000">
        <w:rPr>
          <w:rFonts w:ascii="Times New Roman" w:cs="Times New Roman" w:eastAsia="Times New Roman" w:hAnsi="Times New Roman"/>
          <w:color w:val="000000"/>
          <w:sz w:val="26"/>
          <w:szCs w:val="26"/>
          <w:rtl w:val="0"/>
        </w:rPr>
        <w:t xml:space="preserve">), nam, sinh năm 1993, quốc tịch: Việt Na</w:t>
      </w:r>
      <w:r w:rsidDel="00000000" w:rsidR="00000000" w:rsidRPr="00000000">
        <w:rPr>
          <w:rFonts w:ascii="Times New Roman" w:cs="Times New Roman" w:eastAsia="Times New Roman" w:hAnsi="Times New Roman"/>
          <w:sz w:val="26"/>
          <w:szCs w:val="26"/>
          <w:rtl w:val="0"/>
        </w:rPr>
        <w:t xml:space="preserve">m, CMND/CCCD/Passports: 301479026</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13 Tân Thới Nhất, phường Tân Thới Nhất, quận 12, TP. HCM.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nhân viên kỹ thuật (5-7 người), Công ty</w:t>
      </w:r>
      <w:r w:rsidDel="00000000" w:rsidR="00000000" w:rsidRPr="00000000">
        <w:rPr>
          <w:rFonts w:ascii="Times New Roman" w:cs="Times New Roman" w:eastAsia="Times New Roman" w:hAnsi="Times New Roman"/>
          <w:sz w:val="26"/>
          <w:szCs w:val="26"/>
          <w:rtl w:val="0"/>
        </w:rPr>
        <w:t xml:space="preserve"> nhựa Duy Tâ</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color w:val="ff0000"/>
          <w:sz w:val="26"/>
          <w:szCs w:val="26"/>
          <w:rtl w:val="0"/>
        </w:rPr>
        <w:t xml:space="preserve"> số 298 Hồ Ngọc Lãm, phường An Lạc, quận Bình Tân. TP.HCM.</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0933511654</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lần 1 ngày 11/06/2021 xét nghiệm kết quả âm tính (theo diện lấy mẫu gộp 5 cộng đồng tại TTTDTT Bình Tân), lần 2 ngày ngày 14/06/2021 xét nghiệm kết quả âm tính (theo diện lấy mẫu tại công ty), lần 3 ngày 21/06/2021 (tại bệnh viện 30/4) có kết quả dương tính với SARS CoV-2. </w:t>
      </w:r>
      <w:r w:rsidDel="00000000" w:rsidR="00000000" w:rsidRPr="00000000">
        <w:rPr>
          <w:rFonts w:ascii="Times New Roman" w:cs="Times New Roman" w:eastAsia="Times New Roman" w:hAnsi="Times New Roman"/>
          <w:color w:val="000000"/>
          <w:sz w:val="26"/>
          <w:szCs w:val="26"/>
          <w:highlight w:val="yellow"/>
          <w:rtl w:val="0"/>
        </w:rPr>
        <w:t xml:space="preserve">(t</w:t>
      </w:r>
      <w:r w:rsidDel="00000000" w:rsidR="00000000" w:rsidRPr="00000000">
        <w:rPr>
          <w:rFonts w:ascii="Times New Roman" w:cs="Times New Roman" w:eastAsia="Times New Roman" w:hAnsi="Times New Roman"/>
          <w:sz w:val="26"/>
          <w:szCs w:val="26"/>
          <w:highlight w:val="yellow"/>
          <w:rtl w:val="0"/>
        </w:rPr>
        <w:t xml:space="preserve">ại sao đi BV lấy mẫu??)</w:t>
      </w:r>
      <w:r w:rsidDel="00000000" w:rsidR="00000000" w:rsidRPr="00000000">
        <w:rPr>
          <w:rtl w:val="0"/>
        </w:rPr>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trọ với bạn:</w:t>
      </w:r>
      <w:r w:rsidDel="00000000" w:rsidR="00000000" w:rsidRPr="00000000">
        <w:rPr>
          <w:rFonts w:ascii="Times New Roman" w:cs="Times New Roman" w:eastAsia="Times New Roman" w:hAnsi="Times New Roman"/>
          <w:color w:val="000000"/>
          <w:sz w:val="26"/>
          <w:szCs w:val="26"/>
          <w:rtl w:val="0"/>
        </w:rPr>
        <w:t xml:space="preserve"> Lê Văn Tính (1993_0988134359)</w:t>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7-21/06/2021: hằng ngày BN đi làm tại công ty từ 6h-18h, ăn sáng (trong phòng, đồ ăn có sẵn) và ăn trưa tại công ty (nhà ăn tập thể có vách ngăn, ăn chung khoảng 50 người), ăn tối tại nhà (bạn Tín chung trọ nấu). BN chỉ đi làm rồi về nhà, không ghé café, ăn uống ngoài đường, không tiếp xúc người trong khu nhà trọ, chỉ đổ xăng 3-4  ngày một lần tại 1 cây xăng duy nhất trên đường Phan Văn Hớn (ngã tư Bà Điểm hướng cầu Tham Lương, cây xăng đầu tiên bên trái). Ngày đổ xăng gần nhất là 17 hoặc 18/06/2021 (tiếp xúc với 1 chị đổ xăng).</w:t>
      </w:r>
    </w:p>
    <w:p w:rsidR="00000000" w:rsidDel="00000000" w:rsidP="00000000" w:rsidRDefault="00000000" w:rsidRPr="00000000" w14:paraId="0000001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BN đi làm tại công ty từ lúc 6h-15h (tiếp xúc khoảng 10 người). Sau đó về thẳng nhà, không ghé đâu khác.</w:t>
      </w:r>
    </w:p>
    <w:p w:rsidR="00000000" w:rsidDel="00000000" w:rsidP="00000000" w:rsidRDefault="00000000" w:rsidRPr="00000000" w14:paraId="0000001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đến 20h BN lên lại công ty ở lại và làm việc do khu phòng trọ phong tỏa, lên công ty tiếp xúc với 1 người (anh Hải_ 0933901175).</w:t>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sáng sớm (không nhớ giờ) BN đến BV 30/4 để lấy mẫu (nhưng không được lấy mẫu do không đủ số lượng mẫu để xét nghiệm) nên được chị tiếp nhận (không rõ thông tin) thông báo ra về hẹn sang ngày 21/06/2021. Ra về BN không ghé đâu khác.</w:t>
      </w:r>
    </w:p>
    <w:p w:rsidR="00000000" w:rsidDel="00000000" w:rsidP="00000000" w:rsidRDefault="00000000" w:rsidRPr="00000000" w14:paraId="0000002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ày 21/06/2021: 7h30 BN đến BV 30/4 để lấy mẫu, có kết quả dương tính với SARS CoV-2. BN được cách ly tại phòng cách ly của BV (trong phòng chỉ có BN).</w:t>
      </w:r>
    </w:p>
    <w:p w:rsidR="00000000" w:rsidDel="00000000" w:rsidP="00000000" w:rsidRDefault="00000000" w:rsidRPr="00000000" w14:paraId="0000002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8h BN được chuyển đến BV Phạm Ngọc Thạch để điều trị.</w:t>
      </w:r>
    </w:p>
    <w:p w:rsidR="00000000" w:rsidDel="00000000" w:rsidP="00000000" w:rsidRDefault="00000000" w:rsidRPr="00000000" w14:paraId="0000002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khởi phát: không có.</w:t>
      </w:r>
    </w:p>
    <w:p w:rsidR="00000000" w:rsidDel="00000000" w:rsidP="00000000" w:rsidRDefault="00000000" w:rsidRPr="00000000" w14:paraId="00000024">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Phạm Ngọc Thạch.</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N6vekcU+15uFDG4dIepShmrRpQ==">AMUW2mUua409+AywfvUZ+TLQBRw74G7r2k+2vPaX3tI89rn6R9tn0F3GQywcq2RONLkcVnMW9Pvw+L+BRTfcvmgmdVQy4q8WZxGLchbXxgHneYKOTRBb9Mct6U4pt3822MWLndVTx8Vp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2021-06-22T07:59:00Z</dcterms:created>
  <dc:creator>Windows User</dc:creator>
</cp:coreProperties>
</file>