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0000, 0000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số 0000,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THỊ VÀNG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13 giờ 30 phút, ngày 27/6/2021.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THỊ VÀNG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 0000), nữ, sinh năm 1993, quốc tịch: Việt Nam, CMND/CCCD/Passports: 371628735.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94 ĐƯỜNG SỐ 5 KDC BÌNH ĐIỀN P.7, Q8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nội trợ.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0918276791.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có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ngày 26/06/2021 BN lấy mẫu và có kết quả dương tính với SARS CoV-2.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yếu tố dịch tễ liên quan: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Cần xác định các yếu tố dịch tễ liên quan đến em của BN là Vũ Anh Tú bán căn tin ở chợ đầu mối Bình Điền, không rõ ở sạp nào và dượng của BN là Trần Văn ơn có đến chỗ vựa hải sản chợ Bình Điền mỗi ngày.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THANH TÙNG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 giờ 30 phút, ngày 27/6/2021.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PHẠM THANH TÙNG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 0000), nam, sinh năm 1988, quốc tịch: Việt Nam, CMND/CCCD/Passports: 371162895.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94 ĐƯỜNG SỐ 5 KDC BÌNH ĐIỀN P.7, Q8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và địa chỉ làm việc: sửa xe ở Quận 5 (nhưng đã nghỉ làm từ 31/05/2021 đến nay). Tiệm Sơn Văn Năm địa chỉ số 339 Hùng Vương, Quận 5.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có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ngày 26/06/2021 BN lấy mẫu và có kết quả dương tính với SARS CoV-2.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yếu tố dịch tễ liên quan: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Cần xác định các yếu tố dịch tễ liên quan đến em của BN là Vũ Anh Tú bán căn tin ở chợ đầu mối Bình Điền, không rõ ở sạp nào và dượng của BN là Trần Văn ơn có đến chỗ vựa hải sản chợ Bình Điền mỗi ngày.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2.1. LÊ THỊ VÀNG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chung với: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Phạm Thanh Tùng, sinh năm 1988.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Phạm Lê Gia Bảo, 2013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Phạm Lê Gia Đạt, 2016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Thị Ngọc Như, 1991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Vũ Anh Tú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Dượng Trần Văn Ơn (chồng BN thường chở dượng ra chợ hải sản chợ Bình Điền).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của BN là Vũ Anh Tú buôn bán căn tin trong chợ Bình Điền.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 – 20/06/2021, mua trứng trước nhà, có người nhà gửi khô dưới quê lên.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21-22/06/2021, BN có triệu chứng sốt cảm.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sáng BN đi khám bệnh tại BV Quốc tế City. Tối 26/06/2021, BN được chuyển đến khu cách ly Bình Dương.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Ngày 21-22/06/2021, BN có triệu chứng sốt cảm. Nhức đầu sáng 27/06/2021.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2.2. BN PHẠM THANH TÙNG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chung với: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 Lê Thị Vàng sinh năm 1993, 0918276791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Phạm Lê Gia Bảo, 2013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Phạm Lê Gia Đạt, 2016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vợ Võ Thị Ngọc Như, 1991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Vũ Anh Tú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Dượng Trần Văn Ơn (không ở chung nhưng có hàng ngày có tiếp xúc).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14 – 20/06/2021, BN thường mua thuốc hút cà phê má Năm đường số 2 KDC Bình Điền. Tối khoảng 19h BN chở dượng Trần Văn Ơn lên chợ hải sản ở chợ cá Bình Điền. Có một lần đổ xăng tại cây xăng ngã tư chợ Đệm Nguyễn Hữu Trí.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ngày, BN mua đồ ăn sáng đường số 5 KDC Bình Điền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của BN là Vũ Anh Tú buôn bán căn tin trong chợ Bình Điền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sáng BN đi khám bệnh tại BV Quốc tế City. Tối 26/06/2021, BN được chuyển đến khu cách ly Bình Dương.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ớn lạnh 23 - 24/06/2021ó.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các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Bình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NHM – 8b)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*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*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YxFzX/Kck6kgWQjl+7Zgr3vWw==">AMUW2mUWXw8L21Ze/WJamqAF+3F0XTrrwUbyjwTwmz+6V3fQKkXBb8bQqIB/uX/xbvXz+y3nnn6YPqkmV7udCVy8D4gcUiPFQPDcFFRS9r7hKHQunM6nj2CUyvHRy2QcBGhcaFQi3FEm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2021-06-27T08:39:00Z</dcterms:created>
  <dc:creator>admin</dc:creator>
</cp:coreProperties>
</file>