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10422</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CAO TRẦN NHẬT MINH</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w:t>
      </w:r>
      <w:r w:rsidDel="00000000" w:rsidR="00000000" w:rsidRPr="00000000">
        <w:rPr>
          <w:rFonts w:ascii="Times New Roman" w:cs="Times New Roman" w:eastAsia="Times New Roman" w:hAnsi="Times New Roman"/>
          <w:sz w:val="26"/>
          <w:szCs w:val="26"/>
          <w:rtl w:val="0"/>
        </w:rPr>
        <w:t xml:space="preserve">10422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93</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Việt Nam</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CMND/CCCD: 352173182.</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Số 1, đường số 6, khu dân cư Nam Long, phường An Lạc, quận Bình Tân, TP.Hồ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Nghề nghiệp: C</w:t>
      </w:r>
      <w:r w:rsidDel="00000000" w:rsidR="00000000" w:rsidRPr="00000000">
        <w:rPr>
          <w:rFonts w:ascii="Times New Roman" w:cs="Times New Roman" w:eastAsia="Times New Roman" w:hAnsi="Times New Roman"/>
          <w:sz w:val="26"/>
          <w:szCs w:val="26"/>
          <w:rtl w:val="0"/>
        </w:rPr>
        <w:t xml:space="preserve">ông nhân cơ khí </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làm việc: </w:t>
      </w:r>
      <w:r w:rsidDel="00000000" w:rsidR="00000000" w:rsidRPr="00000000">
        <w:rPr>
          <w:rFonts w:ascii="Times New Roman" w:cs="Times New Roman" w:eastAsia="Times New Roman" w:hAnsi="Times New Roman"/>
          <w:color w:val="ff0000"/>
          <w:sz w:val="26"/>
          <w:szCs w:val="26"/>
          <w:rtl w:val="0"/>
        </w:rPr>
        <w:t xml:space="preserve">Công ty TNHH Khuôn Chính Xác Duy Tân, Lô số 1, đường số 1A khu Công nghiệp Tân Tạo phường Tân Tạo A. Bộ phận Phay CNC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0398016415.</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0</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t</w:t>
      </w:r>
      <w:r w:rsidDel="00000000" w:rsidR="00000000" w:rsidRPr="00000000">
        <w:rPr>
          <w:rFonts w:ascii="Times New Roman" w:cs="Times New Roman" w:eastAsia="Times New Roman" w:hAnsi="Times New Roman"/>
          <w:sz w:val="26"/>
          <w:szCs w:val="26"/>
          <w:rtl w:val="0"/>
        </w:rPr>
        <w:t xml:space="preserve">ại Khu phong tỏa có liên quan đến BN Lê Thanh Luân (BN9497) và BN Nguyễn Thị Hồng Vân (BN9499)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có kết quả XN dương tính với SARS-CoV-2.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cùng vợ Lâm Thúy Hạnh (1993) ở địa chỉ Số 1, đường số 6, khu dân cư Nam Long, phường An Lạc, quận Bình Tân, TP.Hồ Chí Minh.</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10 ngày nay chỉ đi làm rồi về nhà, không đi đâu. Ca sáng bắt đầu từ 5h30 - 18h. Ca tối bắt đầu từ 18h - 6h sáng hôm sau. BN đi làm bằng xe máy riêng hiệu Honda SH mode, biển số xe: 81209. Hàng ngày BN chở vợ đi làm cùng</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Bình thường ăn sáng tại nhà, trưa ăn tại công ty. Ăn trưa tại công ty, ca ăn trưa lúc 11h15, công ty chỉ có 1 nhà ăn.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05/06/2021, BN đi làm về có ghé chợ Khu phố 2 (địa chỉ: 50B, Hồ Học Lãm Phường An Lạc, Quận Bình Tân Thành phố Hồ Chí Minh) mua rau sau đó tầm 18h, BN đóng tiền cho chủ trọ (anh Đặng Văn Ngân, 0332170946).</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06/06/2021, </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12h, BN chở vợ đến mua cháo gà tại quán Gà ta Hội An (433 Hồ Học Lãm, Phường An Lạc, Quận Bình Tân), BN ở ngoài chỉ có vợ BN vào mua.</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16h, BN mua hàng của chị Tuyến bán tạp hóa đầu hẻm 1A-1E, chị Tuyến có tiếp xúc F0 Lê Thanh Luân (BN 9497).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07/06/2021, BN vô công ty (ca đêm) từ 18h, BN có tiếp xúc với mấy anh trong tổ, khoảng 19h30 thì BN về do vợ BN ở nhà than đau bụng. Trên đường về BN ghé hiệu thuốc tây Hồng Phúc (20B Trần Đại Nghĩa, Tân Tạo A, Bình Tân, Thành phố Hồ Chí Minh) tầm 20h.</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khoảng 9h BN mua cam (kế bên chùa Sùng Quang, địa chỉ 326 Hồ Học Lãm, An Lạc, Bình Tân, Thành phố Hồ Chí Minh) và đồ ăn sáng bún thịt nướng ở gần chùa Sùng Quang, bán lề đường không có tên quán, sau đó BN và vợ ở nhà đến khi khu nhà trọ bị phong tỏa và được lấy mẫu gộp trong khu phong tỏa đêm ngày 08/06/2021.</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11/06/2021 mẫu gộp có kết quả dương tính và được lấy lại mẫu đơn.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12/06/2021 mẫu đơn cho kết quả dương tính.</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Ghi nhận triệu chứng: Suốt quá trình ghi nhận dịch tễ, BN không có các triệu chứng sốt, ho, khó thở, mệt mỏi hay mất vị, khứu giác.</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Không ghi nhận.</w:t>
      </w: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BV Dã chiến Củ Chi vào ngày 12/06/2021.</w:t>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(LHN - Nhóm 2)</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Normal1" w:customStyle="1">
    <w:name w:val="Normal1"/>
    <w:qFormat w:val="1"/>
    <w:rsid w:val="00864837"/>
    <w:pPr>
      <w:widowControl w:val="0"/>
      <w:spacing w:after="200" w:line="276" w:lineRule="auto"/>
    </w:pPr>
    <w:rPr>
      <w:rFonts w:ascii="Times New Roman" w:cs="Times New Roman" w:eastAsia="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J9J6W/tB7lEH+4QE+avOHJqsoQ==">AMUW2mWM+AR8yRflRiE70nKH1EcSIx4k1OO3r4sIf6Nw8fLgC1+pjwB49UiFEDQrNUdz1zX/cNfarDPj300c3kksJINWzdkELYvUW8McoqdGxNYa1eIj8bI=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2021-06-07T09:57:00Z</dcterms:created>
  <dc:creator>admin</dc:creator>
</cp:coreProperties>
</file>