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r w:rsidDel="00000000" w:rsidR="00000000" w:rsidRPr="00000000">
        <w:rPr>
          <w:rtl w:val="0"/>
        </w:rPr>
      </w:r>
    </w:p>
    <w:p w:rsidR="00000000" w:rsidDel="00000000" w:rsidP="00000000" w:rsidRDefault="00000000" w:rsidRPr="00000000" w14:paraId="00000002">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TRUNG TÂM KIỂM SOÁT</w:t>
      </w:r>
      <w:r w:rsidDel="00000000" w:rsidR="00000000" w:rsidRPr="00000000">
        <w:rPr>
          <w:rtl w:val="0"/>
        </w:rPr>
      </w:r>
    </w:p>
    <w:p w:rsidR="00000000" w:rsidDel="00000000" w:rsidP="00000000" w:rsidRDefault="00000000" w:rsidRPr="00000000" w14:paraId="00000003">
      <w:pPr>
        <w:spacing w:after="6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BỆNH TẬT THÀNH PHỐ</w:t>
      </w:r>
      <w:r w:rsidDel="00000000" w:rsidR="00000000" w:rsidRPr="00000000">
        <w:rPr>
          <w:rtl w:val="0"/>
        </w:rPr>
      </w:r>
    </w:p>
    <w:p w:rsidR="00000000" w:rsidDel="00000000" w:rsidP="00000000" w:rsidRDefault="00000000" w:rsidRPr="00000000" w14:paraId="00000004">
      <w:pPr>
        <w:spacing w:after="120" w:before="12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Số:                   /TTKSBT-BTN</w:t>
      </w:r>
      <w:r w:rsidDel="00000000" w:rsidR="00000000" w:rsidRPr="00000000">
        <w:rPr>
          <w:rtl w:val="0"/>
        </w:rPr>
      </w:r>
    </w:p>
    <w:p w:rsidR="00000000" w:rsidDel="00000000" w:rsidP="00000000" w:rsidRDefault="00000000" w:rsidRPr="00000000" w14:paraId="00000005">
      <w:pPr>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V/v báo cáo 1 trường hợp ca dương tính COVID-19 số </w:t>
      </w:r>
      <w:r w:rsidDel="00000000" w:rsidR="00000000" w:rsidRPr="00000000">
        <w:rPr>
          <w:rFonts w:ascii="Times New Roman" w:cs="Times New Roman" w:eastAsia="Times New Roman" w:hAnsi="Times New Roman"/>
          <w:sz w:val="26"/>
          <w:szCs w:val="26"/>
          <w:rtl w:val="0"/>
        </w:rPr>
        <w:t xml:space="preserve">10989</w:t>
      </w:r>
      <w:r w:rsidDel="00000000" w:rsidR="00000000" w:rsidRPr="00000000">
        <w:rPr>
          <w:rtl w:val="0"/>
        </w:rPr>
      </w:r>
    </w:p>
    <w:p w:rsidR="00000000" w:rsidDel="00000000" w:rsidP="00000000" w:rsidRDefault="00000000" w:rsidRPr="00000000" w14:paraId="00000006">
      <w:pPr>
        <w:spacing w:after="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CỘNG HOÀ XÃ HỘI CHỦ NGHĨA VIỆT NAM</w:t>
      </w:r>
      <w:r w:rsidDel="00000000" w:rsidR="00000000" w:rsidRPr="00000000">
        <w:rPr>
          <w:rtl w:val="0"/>
        </w:rPr>
      </w:r>
    </w:p>
    <w:p w:rsidR="00000000" w:rsidDel="00000000" w:rsidP="00000000" w:rsidRDefault="00000000" w:rsidRPr="00000000" w14:paraId="00000007">
      <w:pPr>
        <w:spacing w:after="120" w:before="120" w:line="240" w:lineRule="auto"/>
        <w:ind w:left="1" w:hanging="3"/>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Độc lập - Tự do - Hạnh phúc</w:t>
      </w:r>
      <w:r w:rsidDel="00000000" w:rsidR="00000000" w:rsidRPr="00000000">
        <w:rPr>
          <w:rtl w:val="0"/>
        </w:rPr>
      </w:r>
    </w:p>
    <w:p w:rsidR="00000000" w:rsidDel="00000000" w:rsidP="00000000" w:rsidRDefault="00000000" w:rsidRPr="00000000" w14:paraId="00000008">
      <w:pPr>
        <w:spacing w:after="120" w:before="120" w:line="240" w:lineRule="auto"/>
        <w:ind w:left="1" w:hanging="3"/>
        <w:jc w:val="center"/>
        <w:rPr>
          <w:rFonts w:ascii="Times New Roman" w:cs="Times New Roman" w:eastAsia="Times New Roman" w:hAnsi="Times New Roman"/>
          <w:color w:val="000000"/>
          <w:sz w:val="26"/>
          <w:szCs w:val="26"/>
        </w:rPr>
        <w:sectPr>
          <w:pgSz w:h="15840" w:w="12240" w:orient="portrait"/>
          <w:pgMar w:bottom="1440" w:top="1440" w:left="1440" w:right="1440" w:header="720" w:footer="720"/>
          <w:pgNumType w:start="1"/>
          <w:cols w:equalWidth="0" w:num="2">
            <w:col w:space="720" w:w="4320"/>
            <w:col w:space="0" w:w="4320"/>
          </w:cols>
        </w:sectPr>
      </w:pPr>
      <w:r w:rsidDel="00000000" w:rsidR="00000000" w:rsidRPr="00000000">
        <w:rPr>
          <w:rFonts w:ascii="Times New Roman" w:cs="Times New Roman" w:eastAsia="Times New Roman" w:hAnsi="Times New Roman"/>
          <w:i w:val="1"/>
          <w:color w:val="000000"/>
          <w:sz w:val="26"/>
          <w:szCs w:val="26"/>
          <w:rtl w:val="0"/>
        </w:rPr>
        <w:t xml:space="preserve">Tp. Hồ Chí Minh, ngày        tháng       năm  2021</w:t>
      </w:r>
      <w:r w:rsidDel="00000000" w:rsidR="00000000" w:rsidRPr="00000000">
        <w:rPr>
          <w:rtl w:val="0"/>
        </w:rPr>
      </w:r>
    </w:p>
    <w:p w:rsidR="00000000" w:rsidDel="00000000" w:rsidP="00000000" w:rsidRDefault="00000000" w:rsidRPr="00000000" w14:paraId="00000009">
      <w:pPr>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spacing w:after="12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tab/>
        <w:tab/>
        <w:t xml:space="preserve">Kính gửi: </w:t>
      </w:r>
      <w:r w:rsidDel="00000000" w:rsidR="00000000" w:rsidRPr="00000000">
        <w:rPr>
          <w:rtl w:val="0"/>
        </w:rPr>
      </w:r>
    </w:p>
    <w:p w:rsidR="00000000" w:rsidDel="00000000" w:rsidP="00000000" w:rsidRDefault="00000000" w:rsidRPr="00000000" w14:paraId="0000000B">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C">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D">
      <w:pPr>
        <w:numPr>
          <w:ilvl w:val="0"/>
          <w:numId w:val="7"/>
        </w:numPr>
        <w:spacing w:after="120" w:before="120" w:line="240" w:lineRule="auto"/>
        <w:ind w:left="1" w:hanging="3"/>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E">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F">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rtl w:val="0"/>
        </w:rPr>
        <w:t xml:space="preserve">10989</w:t>
      </w:r>
      <w:r w:rsidDel="00000000" w:rsidR="00000000" w:rsidRPr="00000000">
        <w:rPr>
          <w:rFonts w:ascii="Times New Roman" w:cs="Times New Roman" w:eastAsia="Times New Roman" w:hAnsi="Times New Roman"/>
          <w:color w:val="000000"/>
          <w:sz w:val="26"/>
          <w:szCs w:val="26"/>
          <w:rtl w:val="0"/>
        </w:rPr>
        <w:t xml:space="preserve"> tại thành phố Hồ Chí Minh như sau:</w:t>
      </w:r>
    </w:p>
    <w:p w:rsidR="00000000" w:rsidDel="00000000" w:rsidP="00000000" w:rsidRDefault="00000000" w:rsidRPr="00000000" w14:paraId="00000010">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numPr>
          <w:ilvl w:val="0"/>
          <w:numId w:val="8"/>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r w:rsidDel="00000000" w:rsidR="00000000" w:rsidRPr="00000000">
        <w:rPr>
          <w:rtl w:val="0"/>
        </w:rPr>
      </w:r>
    </w:p>
    <w:p w:rsidR="00000000" w:rsidDel="00000000" w:rsidP="00000000" w:rsidRDefault="00000000" w:rsidRPr="00000000" w14:paraId="00000012">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20giờ15 phút, ngày 13/06/2021 .</w:t>
      </w:r>
    </w:p>
    <w:p w:rsidR="00000000" w:rsidDel="00000000" w:rsidP="00000000" w:rsidRDefault="00000000" w:rsidRPr="00000000" w14:paraId="00000013">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VÕ THANH LOAN</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BN10989</w:t>
      </w:r>
      <w:r w:rsidDel="00000000" w:rsidR="00000000" w:rsidRPr="00000000">
        <w:rPr>
          <w:rFonts w:ascii="Times New Roman" w:cs="Times New Roman" w:eastAsia="Times New Roman" w:hAnsi="Times New Roman"/>
          <w:color w:val="000000"/>
          <w:sz w:val="26"/>
          <w:szCs w:val="26"/>
          <w:rtl w:val="0"/>
        </w:rPr>
        <w:t xml:space="preserve">), Nữ, sinh năm 1980, quốc tịch: Việt Nam.</w:t>
      </w:r>
    </w:p>
    <w:p w:rsidR="00000000" w:rsidDel="00000000" w:rsidP="00000000" w:rsidRDefault="00000000" w:rsidRPr="00000000" w14:paraId="00000014">
      <w:pPr>
        <w:numPr>
          <w:ilvl w:val="0"/>
          <w:numId w:val="9"/>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Chứng minh nhân dân: BN kh</w:t>
      </w:r>
      <w:r w:rsidDel="00000000" w:rsidR="00000000" w:rsidRPr="00000000">
        <w:rPr>
          <w:rFonts w:ascii="Times New Roman" w:cs="Times New Roman" w:eastAsia="Times New Roman" w:hAnsi="Times New Roman"/>
          <w:sz w:val="26"/>
          <w:szCs w:val="26"/>
          <w:rtl w:val="0"/>
        </w:rPr>
        <w:t xml:space="preserve">ông nhớ</w:t>
      </w:r>
      <w:r w:rsidDel="00000000" w:rsidR="00000000" w:rsidRPr="00000000">
        <w:rPr>
          <w:rtl w:val="0"/>
        </w:rPr>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Địa chỉ nơi ở:  A9-008 EHOME 3 Hồ Học Lãm, tổ 33, Khu phố 2, phường An Lạc, quận Bình Tân, TP.Hồ Chí Minh.</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bán quán nước tại nhà (chỉ bán mang đi)</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0906342792.</w:t>
      </w:r>
      <w:r w:rsidDel="00000000" w:rsidR="00000000" w:rsidRPr="00000000">
        <w:rPr>
          <w:rtl w:val="0"/>
        </w:rPr>
      </w:r>
    </w:p>
    <w:p w:rsidR="00000000" w:rsidDel="00000000" w:rsidP="00000000" w:rsidRDefault="00000000" w:rsidRPr="00000000" w14:paraId="00000018">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mất vị giác, sốt 12/6</w:t>
      </w:r>
    </w:p>
    <w:p w:rsidR="00000000" w:rsidDel="00000000" w:rsidP="00000000" w:rsidRDefault="00000000" w:rsidRPr="00000000" w14:paraId="00000019">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nghi nhiễm được lấy mẫu xét nghiệm 1 lần do có triệu chứng</w:t>
      </w:r>
    </w:p>
    <w:p w:rsidR="00000000" w:rsidDel="00000000" w:rsidP="00000000" w:rsidRDefault="00000000" w:rsidRPr="00000000" w14:paraId="0000001A">
      <w:pPr>
        <w:shd w:fill="ffffff" w:val="clear"/>
        <w:spacing w:after="0" w:line="360" w:lineRule="auto"/>
        <w:ind w:left="360"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Lần 1: Ngày 12/06/2021, cho kết quả dương tính</w:t>
      </w:r>
    </w:p>
    <w:p w:rsidR="00000000" w:rsidDel="00000000" w:rsidP="00000000" w:rsidRDefault="00000000" w:rsidRPr="00000000" w14:paraId="0000001B">
      <w:pPr>
        <w:numPr>
          <w:ilvl w:val="0"/>
          <w:numId w:val="8"/>
        </w:numP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w:t>
      </w:r>
      <w:r w:rsidDel="00000000" w:rsidR="00000000" w:rsidRPr="00000000">
        <w:rPr>
          <w:rFonts w:ascii="Times New Roman" w:cs="Times New Roman" w:eastAsia="Times New Roman" w:hAnsi="Times New Roman"/>
          <w:b w:val="1"/>
          <w:sz w:val="26"/>
          <w:szCs w:val="26"/>
          <w:rtl w:val="0"/>
        </w:rPr>
        <w:t xml:space="preserve">bệnh</w:t>
      </w:r>
      <w:r w:rsidDel="00000000" w:rsidR="00000000" w:rsidRPr="00000000">
        <w:rPr>
          <w:rFonts w:ascii="Times New Roman" w:cs="Times New Roman" w:eastAsia="Times New Roman" w:hAnsi="Times New Roman"/>
          <w:b w:val="1"/>
          <w:color w:val="000000"/>
          <w:sz w:val="26"/>
          <w:szCs w:val="26"/>
          <w:rtl w:val="0"/>
        </w:rPr>
        <w:t xml:space="preserve"> nhân</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Sống cùng chồng là Dương Khánh Duy (1979)</w:t>
      </w:r>
    </w:p>
    <w:p w:rsidR="00000000" w:rsidDel="00000000" w:rsidP="00000000" w:rsidRDefault="00000000" w:rsidRPr="00000000" w14:paraId="0000001D">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24/5/2021 – 5/6/2021: Buổi sáng bán quán nước (chỉ bán mang đi) cho khách vãng lai nên không biết tên khách. Đến 12h00 cùng ngày đóng cửa nghỉ và không ra ngoài.  </w:t>
      </w:r>
    </w:p>
    <w:p w:rsidR="00000000" w:rsidDel="00000000" w:rsidP="00000000" w:rsidRDefault="00000000" w:rsidRPr="00000000" w14:paraId="0000001E">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06/6/2021: Buổi sáng lịch trình như ngày 5/6/2021, chồng cũng nghỉ làm ở nhà, 2 vợ chồng đóng cửa ở trong nhà không ra ngoài.</w:t>
      </w:r>
    </w:p>
    <w:p w:rsidR="00000000" w:rsidDel="00000000" w:rsidP="00000000" w:rsidRDefault="00000000" w:rsidRPr="00000000" w14:paraId="0000001F">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07/6/2021 – 11/6/2021: Đóng cửa không buôn bán nữa. Toàn bộ thời gian trong nhà không ra ngoài.</w:t>
      </w:r>
    </w:p>
    <w:p w:rsidR="00000000" w:rsidDel="00000000" w:rsidP="00000000" w:rsidRDefault="00000000" w:rsidRPr="00000000" w14:paraId="00000020">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 w:right="0"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Chiều ngày 12/6/2021 Lúc 15h00 chồng chở lên Phòng Khám Đức Khang (129A Nguyễn Chí Thanh P.9 Q.5) test nhanh Covid chờ khoảng 30 phút và có kết quả Dương tính. Và xe 115 của Phòng Khám Đức Khang đưa đi Bệnh Viện Dã Chiến Cần Giờ.</w:t>
      </w:r>
    </w:p>
    <w:p w:rsidR="00000000" w:rsidDel="00000000" w:rsidP="00000000" w:rsidRDefault="00000000" w:rsidRPr="00000000" w14:paraId="00000021">
      <w:pPr>
        <w:keepNext w:val="0"/>
        <w:keepLines w:val="0"/>
        <w:widowControl w:val="1"/>
        <w:numPr>
          <w:ilvl w:val="0"/>
          <w:numId w:val="8"/>
        </w:numPr>
        <w:pBdr>
          <w:top w:space="0" w:sz="0" w:val="nil"/>
          <w:left w:space="0" w:sz="0" w:val="nil"/>
          <w:bottom w:space="0" w:sz="0" w:val="nil"/>
          <w:right w:space="0" w:sz="0" w:val="nil"/>
          <w:between w:space="0" w:sz="0" w:val="nil"/>
        </w:pBdr>
        <w:shd w:fill="ffffff"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6"/>
          <w:szCs w:val="26"/>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r w:rsidDel="00000000" w:rsidR="00000000" w:rsidRPr="00000000">
        <w:rPr>
          <w:rtl w:val="0"/>
        </w:rPr>
      </w:r>
    </w:p>
    <w:p w:rsidR="00000000" w:rsidDel="00000000" w:rsidP="00000000" w:rsidRDefault="00000000" w:rsidRPr="00000000" w14:paraId="00000022">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Ngay khi nhận được thông tin, Trung tâm Y tế quận thực hiện xử lý cụ thể như  sau:</w:t>
      </w:r>
    </w:p>
    <w:p w:rsidR="00000000" w:rsidDel="00000000" w:rsidP="00000000" w:rsidRDefault="00000000" w:rsidRPr="00000000" w14:paraId="00000023">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ca dương tính tới Bệnh viện  điều trị.</w:t>
      </w:r>
    </w:p>
    <w:p w:rsidR="00000000" w:rsidDel="00000000" w:rsidP="00000000" w:rsidRDefault="00000000" w:rsidRPr="00000000" w14:paraId="00000024">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phong tỏa tạm thời  xung quanh.</w:t>
      </w:r>
    </w:p>
    <w:p w:rsidR="00000000" w:rsidDel="00000000" w:rsidP="00000000" w:rsidRDefault="00000000" w:rsidRPr="00000000" w14:paraId="00000025">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phun khử khuẩn và truyền thông hướng dẫn cách thức phòng chống dịch bệnh cho các hộ dân trên.</w:t>
      </w:r>
    </w:p>
    <w:p w:rsidR="00000000" w:rsidDel="00000000" w:rsidP="00000000" w:rsidRDefault="00000000" w:rsidRPr="00000000" w14:paraId="00000026">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Lên kế hoạch tổ chức lấy mẫu cho người dân trong khu phong tỏa và mở rộng.</w:t>
      </w:r>
    </w:p>
    <w:p w:rsidR="00000000" w:rsidDel="00000000" w:rsidP="00000000" w:rsidRDefault="00000000" w:rsidRPr="00000000" w14:paraId="00000027">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Tổ chức điều tra F1, F2.</w:t>
      </w:r>
    </w:p>
    <w:p w:rsidR="00000000" w:rsidDel="00000000" w:rsidP="00000000" w:rsidRDefault="00000000" w:rsidRPr="00000000" w14:paraId="00000028">
      <w:pPr>
        <w:shd w:fill="ffffff" w:val="clear"/>
        <w:spacing w:after="0" w:line="360" w:lineRule="auto"/>
        <w:ind w:left="-4"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Phân công nhân viên Y tế thường trực chống dịch tại trạm Y tế tiếp nhận các trường hợp tự khai báo Y tế đối với tất cả các trường hợp tiếp xúc gần. Chuẩn bị trang thiết bị và các phương án cần thiết để ứng phó với các tình huống phát sinh.</w:t>
      </w:r>
    </w:p>
    <w:p w:rsidR="00000000" w:rsidDel="00000000" w:rsidP="00000000" w:rsidRDefault="00000000" w:rsidRPr="00000000" w14:paraId="00000029">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Khử khuẩn bằng Cloramin</w:t>
      </w:r>
    </w:p>
    <w:p w:rsidR="00000000" w:rsidDel="00000000" w:rsidP="00000000" w:rsidRDefault="00000000" w:rsidRPr="00000000" w14:paraId="0000002A">
      <w:pPr>
        <w:numPr>
          <w:ilvl w:val="0"/>
          <w:numId w:val="1"/>
        </w:numPr>
        <w:shd w:fill="ffffff" w:val="clear"/>
        <w:spacing w:after="0" w:line="36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Trung tâm Kiểm soát bệnh tật thành phố kính báo./ .</w:t>
      </w:r>
    </w:p>
    <w:p w:rsidR="00000000" w:rsidDel="00000000" w:rsidP="00000000" w:rsidRDefault="00000000" w:rsidRPr="00000000" w14:paraId="0000002B">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C">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D">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bl>
      <w:tblPr>
        <w:tblStyle w:val="Table1"/>
        <w:tblW w:w="8392.0" w:type="dxa"/>
        <w:jc w:val="left"/>
        <w:tblInd w:w="0.0" w:type="dxa"/>
        <w:tblLayout w:type="fixed"/>
        <w:tblLook w:val="0400"/>
      </w:tblPr>
      <w:tblGrid>
        <w:gridCol w:w="4526"/>
        <w:gridCol w:w="3866"/>
        <w:tblGridChange w:id="0">
          <w:tblGrid>
            <w:gridCol w:w="4526"/>
            <w:gridCol w:w="3866"/>
          </w:tblGrid>
        </w:tblGridChange>
      </w:tblGrid>
      <w:tr>
        <w:trPr>
          <w:trHeight w:val="864" w:hRule="atLeast"/>
        </w:trPr>
        <w:tc>
          <w:tcPr>
            <w:tcMar>
              <w:top w:w="0.0" w:type="dxa"/>
              <w:left w:w="115.0" w:type="dxa"/>
              <w:bottom w:w="0.0" w:type="dxa"/>
              <w:right w:w="115.0" w:type="dxa"/>
            </w:tcMar>
          </w:tcPr>
          <w:p w:rsidR="00000000" w:rsidDel="00000000" w:rsidP="00000000" w:rsidRDefault="00000000" w:rsidRPr="00000000" w14:paraId="0000002F">
            <w:pPr>
              <w:spacing w:after="0" w:before="120" w:line="240" w:lineRule="auto"/>
              <w:ind w:left="1" w:hanging="3"/>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0">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r w:rsidDel="00000000" w:rsidR="00000000" w:rsidRPr="00000000">
              <w:rPr>
                <w:rtl w:val="0"/>
              </w:rPr>
            </w:r>
          </w:p>
        </w:tc>
      </w:tr>
      <w:tr>
        <w:trPr>
          <w:trHeight w:val="399" w:hRule="atLeast"/>
        </w:trPr>
        <w:tc>
          <w:tcPr>
            <w:tcMar>
              <w:top w:w="0.0" w:type="dxa"/>
              <w:left w:w="115.0" w:type="dxa"/>
              <w:bottom w:w="0.0" w:type="dxa"/>
              <w:right w:w="115.0" w:type="dxa"/>
            </w:tcMar>
          </w:tcPr>
          <w:p w:rsidR="00000000" w:rsidDel="00000000" w:rsidP="00000000" w:rsidRDefault="00000000" w:rsidRPr="00000000" w14:paraId="00000031">
            <w:pPr>
              <w:numPr>
                <w:ilvl w:val="0"/>
                <w:numId w:val="2"/>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Như trên;</w:t>
            </w:r>
          </w:p>
        </w:tc>
        <w:tc>
          <w:tcPr>
            <w:tcMar>
              <w:top w:w="0.0" w:type="dxa"/>
              <w:left w:w="115.0" w:type="dxa"/>
              <w:bottom w:w="0.0" w:type="dxa"/>
              <w:right w:w="115.0" w:type="dxa"/>
            </w:tcMar>
          </w:tcPr>
          <w:p w:rsidR="00000000" w:rsidDel="00000000" w:rsidP="00000000" w:rsidRDefault="00000000" w:rsidRPr="00000000" w14:paraId="00000032">
            <w:pPr>
              <w:spacing w:after="0" w:line="240" w:lineRule="auto"/>
              <w:ind w:left="1" w:hanging="3"/>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3">
            <w:pPr>
              <w:numPr>
                <w:ilvl w:val="0"/>
                <w:numId w:val="3"/>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TPHCM;</w:t>
            </w:r>
          </w:p>
        </w:tc>
        <w:tc>
          <w:tcPr>
            <w:tcMar>
              <w:top w:w="0.0" w:type="dxa"/>
              <w:left w:w="115.0" w:type="dxa"/>
              <w:bottom w:w="0.0" w:type="dxa"/>
              <w:right w:w="115.0" w:type="dxa"/>
            </w:tcMar>
          </w:tcPr>
          <w:p w:rsidR="00000000" w:rsidDel="00000000" w:rsidP="00000000" w:rsidRDefault="00000000" w:rsidRPr="00000000" w14:paraId="00000034">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5">
            <w:pPr>
              <w:numPr>
                <w:ilvl w:val="0"/>
                <w:numId w:val="4"/>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BGĐ Sở Y tế; </w:t>
            </w:r>
          </w:p>
        </w:tc>
        <w:tc>
          <w:tcPr>
            <w:tcMar>
              <w:top w:w="0.0" w:type="dxa"/>
              <w:left w:w="115.0" w:type="dxa"/>
              <w:bottom w:w="0.0" w:type="dxa"/>
              <w:right w:w="115.0" w:type="dxa"/>
            </w:tcMar>
          </w:tcPr>
          <w:p w:rsidR="00000000" w:rsidDel="00000000" w:rsidP="00000000" w:rsidRDefault="00000000" w:rsidRPr="00000000" w14:paraId="00000036">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40" w:hRule="atLeast"/>
        </w:trPr>
        <w:tc>
          <w:tcPr>
            <w:tcMar>
              <w:top w:w="0.0" w:type="dxa"/>
              <w:left w:w="115.0" w:type="dxa"/>
              <w:bottom w:w="0.0" w:type="dxa"/>
              <w:right w:w="115.0" w:type="dxa"/>
            </w:tcMar>
          </w:tcPr>
          <w:p w:rsidR="00000000" w:rsidDel="00000000" w:rsidP="00000000" w:rsidRDefault="00000000" w:rsidRPr="00000000" w14:paraId="00000037">
            <w:pPr>
              <w:numPr>
                <w:ilvl w:val="0"/>
                <w:numId w:val="5"/>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Phòng Nghiệp vụ Y – SYT;</w:t>
            </w:r>
          </w:p>
        </w:tc>
        <w:tc>
          <w:tcPr>
            <w:tcMar>
              <w:top w:w="0.0" w:type="dxa"/>
              <w:left w:w="115.0" w:type="dxa"/>
              <w:bottom w:w="0.0" w:type="dxa"/>
              <w:right w:w="115.0" w:type="dxa"/>
            </w:tcMar>
          </w:tcPr>
          <w:p w:rsidR="00000000" w:rsidDel="00000000" w:rsidP="00000000" w:rsidRDefault="00000000" w:rsidRPr="00000000" w14:paraId="00000038">
            <w:pPr>
              <w:spacing w:after="0" w:line="240" w:lineRule="auto"/>
              <w:ind w:left="1" w:hanging="3"/>
              <w:rPr>
                <w:rFonts w:ascii="Times New Roman" w:cs="Times New Roman" w:eastAsia="Times New Roman" w:hAnsi="Times New Roman"/>
                <w:sz w:val="26"/>
                <w:szCs w:val="26"/>
              </w:rPr>
            </w:pPr>
            <w:r w:rsidDel="00000000" w:rsidR="00000000" w:rsidRPr="00000000">
              <w:rPr>
                <w:rtl w:val="0"/>
              </w:rPr>
            </w:r>
          </w:p>
        </w:tc>
      </w:tr>
      <w:tr>
        <w:trPr>
          <w:trHeight w:val="596" w:hRule="atLeast"/>
        </w:trPr>
        <w:tc>
          <w:tcPr>
            <w:tcMar>
              <w:top w:w="0.0" w:type="dxa"/>
              <w:left w:w="115.0" w:type="dxa"/>
              <w:bottom w:w="0.0" w:type="dxa"/>
              <w:right w:w="115.0" w:type="dxa"/>
            </w:tcMar>
          </w:tcPr>
          <w:p w:rsidR="00000000" w:rsidDel="00000000" w:rsidP="00000000" w:rsidRDefault="00000000" w:rsidRPr="00000000" w14:paraId="00000039">
            <w:pPr>
              <w:numPr>
                <w:ilvl w:val="0"/>
                <w:numId w:val="6"/>
              </w:num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Lưu: PCBTN, KHNV, TCHC</w:t>
            </w:r>
          </w:p>
          <w:p w:rsidR="00000000" w:rsidDel="00000000" w:rsidP="00000000" w:rsidRDefault="00000000" w:rsidRPr="00000000" w14:paraId="0000003A">
            <w:pPr>
              <w:spacing w:after="0" w:line="240" w:lineRule="auto"/>
              <w:ind w:left="1" w:hanging="3"/>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(LHN_Nhóm2)</w:t>
            </w:r>
          </w:p>
          <w:p w:rsidR="00000000" w:rsidDel="00000000" w:rsidP="00000000" w:rsidRDefault="00000000" w:rsidRPr="00000000" w14:paraId="0000003B">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D">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E">
            <w:pPr>
              <w:spacing w:after="0" w:line="240" w:lineRule="auto"/>
              <w:ind w:left="1" w:hanging="3"/>
              <w:jc w:val="both"/>
              <w:rPr>
                <w:rFonts w:ascii="Times New Roman" w:cs="Times New Roman" w:eastAsia="Times New Roman" w:hAnsi="Times New Roman"/>
                <w:sz w:val="26"/>
                <w:szCs w:val="26"/>
              </w:rPr>
            </w:pP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3F">
            <w:pPr>
              <w:spacing w:after="240" w:line="240" w:lineRule="auto"/>
              <w:ind w:left="1" w:hanging="3"/>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p>
        </w:tc>
      </w:tr>
    </w:tbl>
    <w:p w:rsidR="00000000" w:rsidDel="00000000" w:rsidP="00000000" w:rsidRDefault="00000000" w:rsidRPr="00000000" w14:paraId="00000040">
      <w:pPr>
        <w:spacing w:after="0" w:line="240" w:lineRule="auto"/>
        <w:ind w:left="1" w:hanging="3"/>
        <w:jc w:val="both"/>
        <w:rPr>
          <w:rFonts w:ascii="Times New Roman" w:cs="Times New Roman" w:eastAsia="Times New Roman" w:hAnsi="Times New Roman"/>
          <w:color w:val="000000"/>
          <w:sz w:val="26"/>
          <w:szCs w:val="26"/>
        </w:rPr>
        <w:sectPr>
          <w:type w:val="continuous"/>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1">
      <w:pPr>
        <w:ind w:left="0" w:firstLine="0"/>
        <w:rPr>
          <w:rFonts w:ascii="Times New Roman" w:cs="Times New Roman" w:eastAsia="Times New Roman" w:hAnsi="Times New Roman"/>
          <w:sz w:val="26"/>
          <w:szCs w:val="26"/>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8">
    <w:lvl w:ilvl="0">
      <w:start w:val="1"/>
      <w:numFmt w:val="decimal"/>
      <w:lvlText w:val="%1."/>
      <w:lvlJc w:val="left"/>
      <w:pPr>
        <w:ind w:left="36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bullet"/>
      <w:lvlText w:val="-"/>
      <w:lvlJc w:val="left"/>
      <w:pPr>
        <w:ind w:left="360" w:hanging="360"/>
      </w:pPr>
      <w:rPr>
        <w:rFonts w:ascii="Carlito" w:cs="Carlito" w:eastAsia="Carlito" w:hAnsi="Carlito"/>
        <w:color w:val="000000"/>
        <w:sz w:val="28"/>
        <w:szCs w:val="28"/>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9" w:lineRule="auto"/>
      <w:ind w:left="-1" w:leftChars="-1" w:hanging="1" w:hangingChars="1"/>
      <w:textAlignment w:val="top"/>
      <w:outlineLvl w:val="0"/>
    </w:pPr>
    <w:rPr>
      <w:rFonts w:ascii="Calibri" w:cs="Calibri" w:eastAsia="Calibri" w:hAnsi="Calibri"/>
      <w:position w:val="-1"/>
      <w:sz w:val="22"/>
      <w:szCs w:val="22"/>
    </w:rPr>
  </w:style>
  <w:style w:type="paragraph" w:styleId="Heading1">
    <w:name w:val="heading 1"/>
    <w:basedOn w:val="Normal"/>
    <w:next w:val="Normal"/>
    <w:pPr>
      <w:keepNext w:val="1"/>
      <w:keepLines w:val="1"/>
      <w:spacing w:after="120" w:before="480"/>
    </w:pPr>
    <w:rPr>
      <w:b w:val="1"/>
      <w:sz w:val="48"/>
      <w:szCs w:val="48"/>
    </w:rPr>
  </w:style>
  <w:style w:type="paragraph" w:styleId="Heading2">
    <w:name w:val="heading 2"/>
    <w:basedOn w:val="Normal"/>
    <w:next w:val="Normal"/>
    <w:qFormat w:val="1"/>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qFormat w:val="1"/>
    <w:pPr>
      <w:tabs>
        <w:tab w:val="center" w:pos="4680"/>
        <w:tab w:val="right" w:pos="9360"/>
      </w:tabs>
    </w:pPr>
  </w:style>
  <w:style w:type="paragraph" w:styleId="Header">
    <w:name w:val="header"/>
    <w:basedOn w:val="Normal"/>
    <w:qFormat w:val="1"/>
    <w:pPr>
      <w:tabs>
        <w:tab w:val="center" w:pos="4680"/>
        <w:tab w:val="right" w:pos="9360"/>
      </w:tabs>
    </w:pPr>
  </w:style>
  <w:style w:type="paragraph" w:styleId="NormalWeb">
    <w:name w:val="Normal (Web)"/>
    <w:basedOn w:val="Normal"/>
    <w:qFormat w:val="1"/>
    <w:pPr>
      <w:spacing w:after="100" w:afterAutospacing="1" w:before="100" w:beforeAutospacing="1" w:line="240" w:lineRule="auto"/>
    </w:pPr>
    <w:rPr>
      <w:rFonts w:ascii="Times New Roman" w:eastAsia="Times New Roman" w:hAnsi="Times New Roman"/>
      <w:sz w:val="24"/>
      <w:szCs w:val="24"/>
    </w:rPr>
  </w:style>
  <w:style w:type="paragraph" w:styleId="Subtitle">
    <w:name w:val="Subtitle"/>
    <w:basedOn w:val="Normal"/>
    <w:next w:val="Normal"/>
    <w:qFormat w:val="1"/>
    <w:pPr>
      <w:keepNext w:val="1"/>
      <w:keepLines w:val="1"/>
      <w:spacing w:after="80" w:before="360"/>
    </w:pPr>
    <w:rPr>
      <w:rFonts w:ascii="Georgia" w:cs="Georgia" w:eastAsia="Georgia" w:hAnsi="Georgia"/>
      <w:i w:val="1"/>
      <w:color w:val="666666"/>
      <w:sz w:val="48"/>
      <w:szCs w:val="48"/>
    </w:rPr>
  </w:style>
  <w:style w:type="paragraph" w:styleId="Title">
    <w:name w:val="Title"/>
    <w:basedOn w:val="Normal"/>
    <w:next w:val="Normal"/>
    <w:qFormat w:val="1"/>
    <w:pPr>
      <w:keepNext w:val="1"/>
      <w:keepLines w:val="1"/>
      <w:spacing w:after="120" w:before="480"/>
    </w:pPr>
    <w:rPr>
      <w:b w:val="1"/>
      <w:sz w:val="72"/>
      <w:szCs w:val="72"/>
    </w:rPr>
  </w:style>
  <w:style w:type="character" w:styleId="Emphasis">
    <w:name w:val="Emphasis"/>
    <w:basedOn w:val="DefaultParagraphFont"/>
    <w:qFormat w:val="1"/>
    <w:rPr>
      <w:i w:val="1"/>
      <w:iCs w:val="1"/>
    </w:rPr>
  </w:style>
  <w:style w:type="table" w:styleId="TableGrid">
    <w:name w:val="Table Grid"/>
    <w:basedOn w:val="TableNormal"/>
    <w:uiPriority w:val="59"/>
    <w:qFormat w:val="1"/>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qFormat w:val="1"/>
    <w:pPr>
      <w:suppressAutoHyphens w:val="1"/>
      <w:spacing w:line="1" w:lineRule="atLeast"/>
      <w:ind w:left="-1" w:leftChars="-1" w:hanging="1" w:hangingChars="1"/>
      <w:textAlignment w:val="top"/>
      <w:outlineLvl w:val="0"/>
    </w:pPr>
    <w:rPr>
      <w:position w:val="-1"/>
    </w:rPr>
    <w:tblPr>
      <w:tblCellMar>
        <w:top w:w="0.0" w:type="dxa"/>
        <w:left w:w="108.0" w:type="dxa"/>
        <w:bottom w:w="0.0" w:type="dxa"/>
        <w:right w:w="108.0" w:type="dxa"/>
      </w:tblCellMar>
    </w:tblPr>
  </w:style>
  <w:style w:type="character" w:styleId="HeaderChar" w:customStyle="1">
    <w:name w:val="Header Char"/>
    <w:qFormat w:val="1"/>
    <w:rPr>
      <w:w w:val="100"/>
      <w:position w:val="-1"/>
      <w:sz w:val="22"/>
      <w:szCs w:val="22"/>
      <w:vertAlign w:val="baseline"/>
      <w:cs w:val="0"/>
    </w:rPr>
  </w:style>
  <w:style w:type="character" w:styleId="FooterChar" w:customStyle="1">
    <w:name w:val="Footer Char"/>
    <w:qFormat w:val="1"/>
    <w:rPr>
      <w:w w:val="100"/>
      <w:position w:val="-1"/>
      <w:sz w:val="22"/>
      <w:szCs w:val="22"/>
      <w:vertAlign w:val="baseline"/>
      <w:cs w:val="0"/>
    </w:rPr>
  </w:style>
  <w:style w:type="table" w:styleId="Style18" w:customStyle="1">
    <w:name w:val="_Style 18"/>
    <w:basedOn w:val="TableNormal1"/>
    <w:qFormat w:val="1"/>
    <w:tblPr>
      <w:tblCellMar>
        <w:top w:w="15.0" w:type="dxa"/>
        <w:left w:w="15.0" w:type="dxa"/>
        <w:bottom w:w="15.0" w:type="dxa"/>
        <w:right w:w="15.0" w:type="dxa"/>
      </w:tblCellMar>
    </w:tblPr>
  </w:style>
  <w:style w:type="table" w:styleId="Style19" w:customStyle="1">
    <w:name w:val="_Style 19"/>
    <w:basedOn w:val="TableNormal1"/>
    <w:qFormat w:val="1"/>
    <w:tblPr>
      <w:tblCellMar>
        <w:top w:w="15.0" w:type="dxa"/>
        <w:left w:w="15.0" w:type="dxa"/>
        <w:bottom w:w="15.0" w:type="dxa"/>
        <w:right w:w="15.0" w:type="dxa"/>
      </w:tblCellMar>
    </w:tblPr>
  </w:style>
  <w:style w:type="paragraph" w:styleId="ListParagraph">
    <w:name w:val="List Paragraph"/>
    <w:basedOn w:val="Normal"/>
    <w:uiPriority w:val="34"/>
    <w:qFormat w:val="1"/>
    <w:pPr>
      <w:ind w:left="720"/>
      <w:contextualSpacing w:val="1"/>
    </w:pPr>
    <w:rPr>
      <w:rFonts w:cs="Times New Roman"/>
    </w:rPr>
  </w:style>
  <w:style w:type="character" w:styleId="text" w:customStyle="1">
    <w:name w:val="text"/>
    <w:basedOn w:val="DefaultParagraphFont"/>
    <w:rsid w:val="00FB4054"/>
  </w:style>
  <w:style w:type="paragraph" w:styleId="Normal1" w:customStyle="1">
    <w:name w:val="Normal1"/>
    <w:rsid w:val="00C06E68"/>
    <w:pPr>
      <w:widowControl w:val="0"/>
      <w:pBdr>
        <w:top w:space="0" w:sz="0" w:val="nil"/>
        <w:left w:space="0" w:sz="0" w:val="nil"/>
        <w:bottom w:space="0" w:sz="0" w:val="nil"/>
        <w:right w:space="0" w:sz="0" w:val="nil"/>
        <w:between w:space="0" w:sz="0" w:val="nil"/>
        <w:bar w:space="0" w:sz="0" w:val="nil"/>
      </w:pBdr>
    </w:pPr>
    <w:rPr>
      <w:color w:val="000000"/>
      <w:sz w:val="24"/>
      <w:szCs w:val="24"/>
      <w:u w:color="000000"/>
      <w:bdr w:space="0" w:sz="0" w:val="nil"/>
    </w:rPr>
  </w:style>
  <w:style w:type="paragraph" w:styleId="BodyA" w:customStyle="1">
    <w:name w:val="Body A"/>
    <w:rsid w:val="00C06E68"/>
    <w:pPr>
      <w:pBdr>
        <w:top w:space="0" w:sz="0" w:val="nil"/>
        <w:left w:space="0" w:sz="0" w:val="nil"/>
        <w:bottom w:space="0" w:sz="0" w:val="nil"/>
        <w:right w:space="0" w:sz="0" w:val="nil"/>
        <w:between w:space="0" w:sz="0" w:val="nil"/>
        <w:bar w:space="0" w:sz="0" w:val="nil"/>
      </w:pBdr>
    </w:pPr>
    <w:rPr>
      <w:rFonts w:ascii="Calibri" w:cs="Calibri" w:eastAsia="Calibri" w:hAnsi="Calibri"/>
      <w:color w:val="000000"/>
      <w:sz w:val="22"/>
      <w:szCs w:val="22"/>
      <w:u w:color="000000"/>
      <w:bdr w:space="0" w:sz="0" w:val="nil"/>
    </w:rPr>
  </w:style>
  <w:style w:type="numbering" w:styleId="ImportedStyle1" w:customStyle="1">
    <w:name w:val="Imported Style 1"/>
    <w:rsid w:val="00C06E68"/>
    <w:pPr>
      <w:numPr>
        <w:numId w:val="10"/>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0ZybvkthYdhQld6hbWe3ZC/b/g==">AMUW2mWKW1jH4zlTMh4Rdm2Sd5YWfNR31LWQkFPREKbrpWwlb7286zIRaNZKAo039WNKDV+ude7mW034iQhZ6Vxg+MiN4xJX8J/GFiw2vGCGs7u4CNkO8ajA+h5FVvjKEEwQVe9xJSme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2021-06-17T10:16:00Z</dcterms:created>
  <dc:creator>LUONG THI BICH UYEN-YHDP18</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