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10990</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10990</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p>
    <w:p w:rsidR="00000000" w:rsidDel="00000000" w:rsidP="00000000" w:rsidRDefault="00000000" w:rsidRPr="00000000" w14:paraId="0000001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20giờ15 phút, ngày 13/06/2021 .</w:t>
      </w:r>
    </w:p>
    <w:p w:rsidR="00000000" w:rsidDel="00000000" w:rsidP="00000000" w:rsidRDefault="00000000" w:rsidRPr="00000000" w14:paraId="00000013">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DƯƠNG KHÁNH DUY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BN10990</w:t>
      </w:r>
      <w:r w:rsidDel="00000000" w:rsidR="00000000" w:rsidRPr="00000000">
        <w:rPr>
          <w:rFonts w:ascii="Times New Roman" w:cs="Times New Roman" w:eastAsia="Times New Roman" w:hAnsi="Times New Roman"/>
          <w:color w:val="000000"/>
          <w:sz w:val="26"/>
          <w:szCs w:val="26"/>
          <w:rtl w:val="0"/>
        </w:rPr>
        <w:t xml:space="preserve">), Nam, sinh năm 1979, quốc tịch: Việt Nam.</w:t>
      </w:r>
    </w:p>
    <w:p w:rsidR="00000000" w:rsidDel="00000000" w:rsidP="00000000" w:rsidRDefault="00000000" w:rsidRPr="00000000" w14:paraId="00000014">
      <w:pPr>
        <w:numPr>
          <w:ilvl w:val="0"/>
          <w:numId w:val="9"/>
        </w:numPr>
        <w:shd w:fill="ffffff" w:val="clear"/>
        <w:spacing w:after="0" w:line="360" w:lineRule="auto"/>
        <w:ind w:left="3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Chứng minh nhân dân: </w:t>
      </w:r>
    </w:p>
    <w:p w:rsidR="00000000" w:rsidDel="00000000" w:rsidP="00000000" w:rsidRDefault="00000000" w:rsidRPr="00000000" w14:paraId="00000015">
      <w:pPr>
        <w:numPr>
          <w:ilvl w:val="0"/>
          <w:numId w:val="9"/>
        </w:numPr>
        <w:shd w:fill="ffffff" w:val="clear"/>
        <w:spacing w:after="0" w:line="360" w:lineRule="auto"/>
        <w:ind w:left="3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A9-008 EHOME 3 Hồ Học Lãm, tổ 33, Khu phố 2, phường An Lạc, quận Bình Tân, TP. Hồ Chí Minh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Ngân hàng Á Châu (2/16 Cao Thắng, phường 5, quận </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ngân hàng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Không xin được số</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w:t>
      </w:r>
      <w:r w:rsidDel="00000000" w:rsidR="00000000" w:rsidRPr="00000000">
        <w:rPr>
          <w:rFonts w:ascii="Times New Roman" w:cs="Times New Roman" w:eastAsia="Times New Roman" w:hAnsi="Times New Roman"/>
          <w:sz w:val="26"/>
          <w:szCs w:val="26"/>
          <w:highlight w:val="yellow"/>
          <w:rtl w:val="0"/>
        </w:rPr>
        <w:t xml:space="preserve">không</w:t>
      </w:r>
    </w:p>
    <w:p w:rsidR="00000000" w:rsidDel="00000000" w:rsidP="00000000" w:rsidRDefault="00000000" w:rsidRPr="00000000" w14:paraId="0000001A">
      <w:pPr>
        <w:numPr>
          <w:ilvl w:val="0"/>
          <w:numId w:val="8"/>
        </w:numP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24/5/2021 – 1/6/2021: Đi làm tại Ngân hàng Á Châu, chỉ lên phòng làm việc và không tiếp xúc với ai. Sau giờ làm việc đi thẳng về nhà không ghé chỗ nào.</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02/6/2021 – 03/6/2021: Lên Ngân hàng làm việc và có tiếp xúc với Anh Phong, Chị Nga trao đổi chứng từ.</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04/6/2021: Không đến cơ quan làm việc, chỉ ở trong nhà rất hạn chế tiếp xúc với mọi người.</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10/6/2021: Có ghé siêu thị Vinmart dưới chung cư Ehome3 (trong buổi sáng) mua hàng xong ra tính tiền (Bạn nam tính tiền) về thẳng nhà.</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ngày 12/6/2021 lúc 15h00 chở vợ Võ Thanh Loan lên Phòng khám Đức Khang (129A Nguyễn Chí Thanh, phường 9, quận 5) test nhanh Covid chờ khoảng 30 phút và có kết quả Dương tính. Và xe 115 của Phòng khám Đức Khang đưa đi Bệnh viện Dã Chiến Cần Giờ.</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21">
      <w:pPr>
        <w:numPr>
          <w:ilvl w:val="0"/>
          <w:numId w:val="8"/>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2">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23">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24">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25">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6">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27">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28">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29">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2A">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2B">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2F">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0">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31">
            <w:pPr>
              <w:numPr>
                <w:ilvl w:val="0"/>
                <w:numId w:val="2"/>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2">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4">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5">
            <w:pPr>
              <w:numPr>
                <w:ilvl w:val="0"/>
                <w:numId w:val="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6">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7">
            <w:pPr>
              <w:numPr>
                <w:ilvl w:val="0"/>
                <w:numId w:val="5"/>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8">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39">
            <w:pPr>
              <w:numPr>
                <w:ilvl w:val="0"/>
                <w:numId w:val="6"/>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A">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3B">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F">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40">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36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H+7BwVkqWmbSW+CyIbNoagWi/Q==">AMUW2mViTe6s/nL9thQn38wKPeDpYiioiQP2RCdt/fK7Y8Bah+KMzojJKF9/Jrs3GkDIzyjin4JYuwjyykkIygoumXWrItAADsjSMdTZs++JuLBiGOEISjs=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2021-06-17T10:22:00Z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