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12174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14 giờ 00 phút, ngày 16/06/2021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PHẠM TRẦN MINH CÔNG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(BN0000), Nam, sinh năm 1988,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079088010007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 ehome3- A7-510 phường An Lạc, quận Bình Tân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làm việc: 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Công ty Swag soft  168 Nguyễn Công Trứ phường NGuyễn Thái Bình,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IT (làm 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từ 27/05)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0703346796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chứng:không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Ca nghi nhiễm được lấy mẫu xét nghiệm 2 lần do chung cư có ca dương tính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left="-2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Lần 1: ngày 13/06/2021, mẫu gộp cho kết quả dương tính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ind w:left="-2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Lần 2 :ngày 15/06/2021, kết quả XN dương tính với SARS-CoV-2.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cách ly phong tỏa : 13/06/2021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chung với mẹ Trần Thị Thanh Trúc(1988), ba Phạm Văn Lộc (1961)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20/5 – 26/05/2021: đi làm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từ 9h30 đến 18h30, không ăn sáng, không ăn trưa, ăn tối tại nhà. Chung phòng làm có 21 người.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26/05/202 đi mua café ở quán Ông bầu đối diện chung cư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5/6-6/6/2021: tới Ehome 4 ở Bình Dương gặp bạn Chi ở C4-518 ( 1992/093 8780843)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13/06-15/6/2021: mua café ở vinmart Ehome 3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từng có nhịp tim chậm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C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9fpd0olUYuYbHSibz0WOmlYE/w==">AMUW2mWEk8OY3auPxsU9NpiK8owMws+5s5dhuQoRY2zv3AlA59KjpjjG2XdlTGVXce5O25TnerPMo+alTYT+CEExL7idg9h/W8LgAfXoHdxSSDpvytdLGT4fhsE8jmntCu7IvNmdxf/D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2021-06-17T05:25:00Z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