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12179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00 giờ 00 phút, ngày 17/06/2021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VĂN THUẬN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(BN0000), Nam, sinh năm 1966,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083066000736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A9-619 Ehome3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phường An Lạc, quận Bình Tân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Ty TNHH Thương Mại Và Dịch Vụ Ắc Quy Vạn Phước Thịnh_893 Kinh Dương Vương, Phường An Lạc, Quận Bình Tân, TP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Làm bình acquy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0774642233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 nghi nhiễm được lấy mẫu xét nghiệm 2 lần do chung cư có ca dương tính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ngày 14/06/2021, mẫu gộp 10 không biết kết quả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 :ngày 16/06/2021, kết quả XN dương tính với SARS-CoV-2.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" w:righ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cách ly phong tỏa : 12/06/2021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" w:righ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chung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Thế Hiển (1986) SĐT 0916191916, con Nguyễn Hồ Trúc Mai (1985), cháu Lê Thế Hưng (2012)( Ngày 30/05/2021 đã về quê ở Phú Nhuận Bến Tre) . Hiện tại chỉ sống với vợ là ĐOÀN THỊ KIỀU HẠNH (1967_SDT: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0907238154 )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" w:righ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25/5 – 3/06/2021: đi làm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7h00 đến 17h00, trưa về nhà ăn cơm. Làm chung với chủ cửa hàng Nguyễn Quang Chí  Phước( (sđt: 0909101079_893 Kinh Dương Vương, Phường An Lạc) ( Ngày 5/6  đã lấy mẫu âm tính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" w:righ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30/05-3/6/2021 hay đi thay acquy ở khu Tân Tạo, gần KCN Tân Tạo (không nhớ chính xác).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" w:righ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1/6-12/6/2021: đi chợ KP2 Hồ Học Lãm phường An Lạc quận Bình Tân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" w:right="0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B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36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Js66KBhjZKpL5Ud38ntU9Muw/Q==">AMUW2mVPQ4a1Vbfe+i0OBs/I2RCyncVs+vl5gxYL4X0Dnb7u13CIzeFoI0+4g5D5+KIpNKFdQ4prAtbpvnTgrlKV56VDpD5H9h7VkgmBkZw/4LnWTsnZPps=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2021-06-17T09:06:00Z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