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số13237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số13237 tại thành phố Hồ Chí Minh như sau:</w:t>
      </w:r>
    </w:p>
    <w:p w:rsidR="00000000" w:rsidDel="00000000" w:rsidP="00000000" w:rsidRDefault="00000000" w:rsidRPr="00000000" w14:paraId="0000001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NGUYỄN THỊ THU VÂN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BN13237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85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w:t>
      </w:r>
      <w:r w:rsidDel="00000000" w:rsidR="00000000" w:rsidRPr="00000000">
        <w:rPr>
          <w:rFonts w:ascii="Times New Roman" w:cs="Times New Roman" w:eastAsia="Times New Roman" w:hAnsi="Times New Roman"/>
          <w:sz w:val="26"/>
          <w:szCs w:val="26"/>
          <w:rtl w:val="0"/>
        </w:rPr>
        <w:t xml:space="preserve"> 025935785</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color w:val="ff0000"/>
          <w:sz w:val="26"/>
          <w:szCs w:val="26"/>
          <w:rtl w:val="0"/>
        </w:rPr>
        <w:t xml:space="preserve">65/18/41</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Đường Số 5, phường Bình Hưng Hòa, quận Bình Tân, TP.Hồ Chí Minh.</w:t>
      </w:r>
    </w:p>
    <w:p w:rsidR="00000000" w:rsidDel="00000000" w:rsidP="00000000" w:rsidRDefault="00000000" w:rsidRPr="00000000" w14:paraId="0000001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Nội trợ</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w:t>
      </w:r>
      <w:r w:rsidDel="00000000" w:rsidR="00000000" w:rsidRPr="00000000">
        <w:rPr>
          <w:rFonts w:ascii="Times New Roman" w:cs="Times New Roman" w:eastAsia="Times New Roman" w:hAnsi="Times New Roman"/>
          <w:sz w:val="26"/>
          <w:szCs w:val="26"/>
          <w:rtl w:val="0"/>
        </w:rPr>
        <w:t xml:space="preserve">906988236</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theo diện tiếp </w:t>
      </w:r>
      <w:r w:rsidDel="00000000" w:rsidR="00000000" w:rsidRPr="00000000">
        <w:rPr>
          <w:rFonts w:ascii="Times New Roman" w:cs="Times New Roman" w:eastAsia="Times New Roman" w:hAnsi="Times New Roman"/>
          <w:sz w:val="26"/>
          <w:szCs w:val="26"/>
          <w:rtl w:val="0"/>
        </w:rPr>
        <w:t xml:space="preserve">xét nghiệm mở rộng tầm soát khu vực hẻm</w:t>
      </w:r>
      <w:r w:rsidDel="00000000" w:rsidR="00000000" w:rsidRPr="00000000">
        <w:rPr>
          <w:rFonts w:ascii="Times New Roman" w:cs="Times New Roman" w:eastAsia="Times New Roman" w:hAnsi="Times New Roman"/>
          <w:color w:val="ff0000"/>
          <w:sz w:val="26"/>
          <w:szCs w:val="26"/>
          <w:rtl w:val="0"/>
        </w:rPr>
        <w:t xml:space="preserve"> 50 Đường số 5, Phường Bình Hưng Hòa, Quận Bình Tân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w:t>
      </w:r>
      <w:r w:rsidDel="00000000" w:rsidR="00000000" w:rsidRPr="00000000">
        <w:rPr>
          <w:rFonts w:ascii="Times New Roman" w:cs="Times New Roman" w:eastAsia="Times New Roman" w:hAnsi="Times New Roman"/>
          <w:sz w:val="26"/>
          <w:szCs w:val="26"/>
          <w:rtl w:val="0"/>
        </w:rPr>
        <w:t xml:space="preserve">âm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tính với SARS-CoV-2. BN </w:t>
      </w:r>
      <w:r w:rsidDel="00000000" w:rsidR="00000000" w:rsidRPr="00000000">
        <w:rPr>
          <w:rFonts w:ascii="Times New Roman" w:cs="Times New Roman" w:eastAsia="Times New Roman" w:hAnsi="Times New Roman"/>
          <w:sz w:val="26"/>
          <w:szCs w:val="26"/>
          <w:rtl w:val="0"/>
        </w:rPr>
        <w:t xml:space="preserve">được lấy mẫu lần 2 theo diện tiếp xúc gần với BN Lê Thị </w:t>
      </w:r>
      <w:r w:rsidDel="00000000" w:rsidR="00000000" w:rsidRPr="00000000">
        <w:rPr>
          <w:rFonts w:ascii="Times New Roman" w:cs="Times New Roman" w:eastAsia="Times New Roman" w:hAnsi="Times New Roman"/>
          <w:color w:val="ff0000"/>
          <w:sz w:val="26"/>
          <w:szCs w:val="26"/>
          <w:rtl w:val="0"/>
        </w:rPr>
        <w:t xml:space="preserve">Thanh Sang (BN10034) và có kết quả dương tính với SARS-CoV-2.</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tại địa chỉ 65/18/41 Đường Số 5, phường Bình Hưng Hòa, quận Bình Tân, TP.Hồ Chí Minh cùng với gia đình</w:t>
      </w:r>
      <w:r w:rsidDel="00000000" w:rsidR="00000000" w:rsidRPr="00000000">
        <w:rPr>
          <w:rFonts w:ascii="Times New Roman" w:cs="Times New Roman" w:eastAsia="Times New Roman" w:hAnsi="Times New Roman"/>
          <w:sz w:val="26"/>
          <w:szCs w:val="26"/>
          <w:rtl w:val="0"/>
        </w:rPr>
        <w:t xml:space="preserve"> gồm:</w:t>
      </w:r>
    </w:p>
    <w:p w:rsidR="00000000" w:rsidDel="00000000" w:rsidP="00000000" w:rsidRDefault="00000000" w:rsidRPr="00000000" w14:paraId="0000001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Nguyễn Quốc Anh ( làm kinh doanh tại nhà, đã nghỉ từ đầu tháng 6)</w:t>
      </w:r>
    </w:p>
    <w:p w:rsidR="00000000" w:rsidDel="00000000" w:rsidP="00000000" w:rsidRDefault="00000000" w:rsidRPr="00000000" w14:paraId="0000001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 Nguyễn Thị Diễm My (2004_ học tại THPT Bình Hưng Hòa Đc: 79-19 Đường số 4, Bình Hưng Hoà, Bình Tân, Thành phố Hồ Chí Minh)</w:t>
      </w:r>
    </w:p>
    <w:p w:rsidR="00000000" w:rsidDel="00000000" w:rsidP="00000000" w:rsidRDefault="00000000" w:rsidRPr="00000000" w14:paraId="0000001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Quốc Tuấn Kiệt (2006_ học tại THCS Nguyễn Trãi Đc: Đường M1, Bình Hưng Hoà, Bình Tân, Thành phố Hồ Chí Minh)</w:t>
      </w:r>
    </w:p>
    <w:p w:rsidR="00000000" w:rsidDel="00000000" w:rsidP="00000000" w:rsidRDefault="00000000" w:rsidRPr="00000000" w14:paraId="0000001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color w:val="ff0000"/>
          <w:sz w:val="26"/>
          <w:szCs w:val="26"/>
          <w:rtl w:val="0"/>
        </w:rPr>
        <w:t xml:space="preserve">BN khai ngày 7/6/2021 BN có qua nhà BN NGUYỄN THỊ HỌC Đc: 50/30 Đường số 5, Bình Hưng Hòa, Bình Tân chơi thì có gặp Vợ chồng BN Hứa Hiền Nguyên và BN Lê Thị Thanh Sang.</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chỉ đi chợ mua mì một lần trước ngày 7/6/2021 vài ngày tuy nhiên BN không nhớ rõ.</w:t>
      </w:r>
    </w:p>
    <w:p w:rsidR="00000000" w:rsidDel="00000000" w:rsidP="00000000" w:rsidRDefault="00000000" w:rsidRPr="00000000" w14:paraId="00000020">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Từ này 8/6/2021 BN nghe được thông tin BN Hứa Nguyên Hiền thuộc diện nghi nhiễm nên đã chủ động cách ly tại nhà. Hàng xóm BN mua thực phẩm gửi trước nhà cho gia đình BN.</w:t>
      </w:r>
    </w:p>
    <w:p w:rsidR="00000000" w:rsidDel="00000000" w:rsidP="00000000" w:rsidRDefault="00000000" w:rsidRPr="00000000" w14:paraId="0000002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Chưa ghi nhận</w:t>
      </w:r>
    </w:p>
    <w:p w:rsidR="00000000" w:rsidDel="00000000" w:rsidP="00000000" w:rsidRDefault="00000000" w:rsidRPr="00000000" w14:paraId="0000002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0yowat9ll8p" w:id="1"/>
      <w:bookmarkEnd w:id="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sử bệnh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w:t>
      </w:r>
      <w:r w:rsidDel="00000000" w:rsidR="00000000" w:rsidRPr="00000000">
        <w:rPr>
          <w:rFonts w:ascii="Times New Roman" w:cs="Times New Roman" w:eastAsia="Times New Roman" w:hAnsi="Times New Roman"/>
          <w:sz w:val="26"/>
          <w:szCs w:val="26"/>
          <w:rtl w:val="0"/>
        </w:rPr>
        <w:t xml:space="preserve">ưa ghi nhận.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A">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2"/>
            <w:bookmarkEnd w:id="2"/>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qFormat w:val="1"/>
  </w:style>
  <w:style w:type="paragraph" w:styleId="14">
    <w:name w:val="List Paragraph"/>
    <w:basedOn w:val="1"/>
    <w:uiPriority w:val="34"/>
    <w:qFormat w:val="1"/>
    <w:pPr>
      <w:ind w:left="720"/>
      <w:contextualSpacing w:val="1"/>
    </w:pPr>
  </w:style>
  <w:style w:type="table" w:styleId="15" w:customStyle="1">
    <w:name w:val="_Style 15"/>
    <w:basedOn w:val="13"/>
    <w:uiPriority w:val="0"/>
    <w:qFormat w:val="1"/>
    <w:tblPr>
      <w:tblCellMar>
        <w:top w:w="0.0" w:type="dxa"/>
        <w:left w:w="115.0" w:type="dxa"/>
        <w:bottom w:w="0.0" w:type="dxa"/>
        <w:right w:w="115.0" w:type="dxa"/>
      </w:tblCellMar>
    </w:tblPr>
  </w:style>
  <w:style w:type="table" w:styleId="16" w:customStyle="1">
    <w:name w:val="_Style 16"/>
    <w:basedOn w:val="13"/>
    <w:uiPriority w:val="0"/>
    <w:qFormat w:val="1"/>
    <w:tblPr>
      <w:tblCellMar>
        <w:top w:w="0.0" w:type="dxa"/>
        <w:left w:w="115.0" w:type="dxa"/>
        <w:bottom w:w="0.0" w:type="dxa"/>
        <w:right w:w="115.0" w:type="dxa"/>
      </w:tblCellMar>
    </w:tblPr>
  </w:style>
  <w:style w:type="table" w:styleId="17" w:customStyle="1">
    <w:name w:val="_Style 17"/>
    <w:basedOn w:val="13"/>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fWWPhzi+fBnNtwXVqVytLinBw==">AMUW2mWQAO2gQUpGSRprewPqTyUCa8NV4smN2fuWV1u5D/hVf9tBaZ4qXVVQ15VKNLr+rXNDkWJuAsvAt2sULrsSogcqjduzH9lgCRR6yTT7+3V88w2QtBRV+ELENk3ePZ2jWNWD05YI+lOmGD0tApgCE1SVyjNmLA==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