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báo cáo 1 trường hợp ca dương tính COVID-19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ố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13829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Trung tâm Kiểm soát bệnh tật thành phố báo cáo nhanh thông tin về 01 trường hợp dương tính COVID-19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13829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NGUYỄN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HÀ SAN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13829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ới tính: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nam,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MND/CCCD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067084000006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ăn hộ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A0709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chung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 Ehome 3, Hồ Học Lãm, phường An Lạc, quận Bình Tân,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hành phố Hồ Chí Minh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làm việc tại nhà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căn hộ A0709, chung cư Ehome 3, Hồ Học Lãm, phường An Lạc,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Bình Tân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Thành phố Hồ Chí Minh.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909632953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Thiên chúa giáo.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06 tại KCLTT Học viện Bưu Chính Viễn Thông, Thành phố Hồ Chí Minh và có kết quả dương tính với SARS-CoV-2. BN có yếu tố dịch tễ liên quan đến BN Lê Văn Ngà (BN12482), BN ở chung phòng với BN Ngà trong khu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 xét nghiệm có kết quả dương tính trong khu cách ly tập trung.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vợ: Phạm Thị Thanh Hương, 1984, sdt: 093537264 ; con gái: Nguyễn Hà Gia Hân, 2013; tại căn hộ A0709, chung cư Ehome 3, Hồ Học Lãm, phường An Lạc, quận Bình Tân, Thành phố Hồ Chí Minh.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26/05/2021, BN được BN Lê Thanh Luân (BN9497) nhờ khiêng đồ có tiếp xúc gần, khoảng 2 phút, từ sảnh chung cư Ehome 3 lên xe ba gác của anh Luân, BN có mang khẩu trang.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10/06/2021, BN được di chuyển đến khu cách ly tập trung quận Bình Tân và được lấy mẫu xét nghiệm lần 01, kết quả âm tính.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11/06/2021, sáng BN cùng với BN Lê Văn Ngà (BN12482) được di chuyển từ KCLTT quận Bình Tân đến khu cách ly Học viện Bưu chính Viễn thông tại quận 9, ở tại phòng J4 cùng BN Ngà.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15/06/2021, người chung phòng với BN là BN Lê Văn Ngà (BN12482) có kết quả dương tính với SARS-CoV-2. BN được chuyển sang phòng J13 và ở cùng 2 người khác tên Luân và Tựu (BN không rõ họ tên).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19/06/2021, Luân và Tựu được chuyển sang phòng khác (BN không biết rõ phòng nào, hiện tại BN ở một mình tại phòng J13)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Xét nghiệm: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6 lần: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ngày 10/06/2021: tại KCLTT quận Bình Tân, kết quả âm tính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ngày 13/06/2021: tại khu cách ly Học viện Bưu chính Viễn thông tại quận 9, có kết quả âm tính.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3: ngày 15/06/2021: có kết quả âm tính.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4: ngày 17/06/2021: có kết quả âm tính.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5: sáng ngày 19/06/2021: có kết quả âm tính.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6: chiều tối ngày 19/06/2021: có kết quả dương tính với SARS-CoV-2.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Triệu chứng: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/06/2021,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cảm thấy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mệt mỏi trong người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 ít.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được đưa đến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 cách ly điều trị tại.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NHÓM 2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hd w:fill="auto" w:val="clear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2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3" w:customStyle="1">
    <w:name w:val="Table Normal1"/>
    <w:uiPriority w:val="0"/>
    <w:qFormat w:val="1"/>
  </w:style>
  <w:style w:type="paragraph" w:styleId="14">
    <w:name w:val="List Paragraph"/>
    <w:basedOn w:val="1"/>
    <w:uiPriority w:val="34"/>
    <w:qFormat w:val="1"/>
    <w:pPr>
      <w:ind w:left="720"/>
      <w:contextualSpacing w:val="1"/>
    </w:pPr>
  </w:style>
  <w:style w:type="table" w:styleId="15" w:customStyle="1">
    <w:name w:val="_Style 15"/>
    <w:basedOn w:val="13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6" w:customStyle="1">
    <w:name w:val="_Style 16"/>
    <w:basedOn w:val="13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7"/>
    <w:basedOn w:val="13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Vyrd1V40h6IHqiz8XPrx4iHK1g==">AMUW2mWqxZAYCbyMUOREsNbgx2tvn/BLx92Vi40KzhgYr0fZiGQOO5snrQcMEcvSlgxji7X5M436hpVCqkMvgDTBddeKshT5ZWgtn8nOPrMvN4Yp8desuQyRNjan+ji+zcxSwtqQ2wTj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