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14651</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101600</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101600</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14651 tại thành phố Hồ Chí Minh như sau:</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16 giờ 00 phút, ngày 24/06/2021.</w:t>
      </w:r>
      <w:r w:rsidDel="00000000" w:rsidR="00000000" w:rsidRPr="00000000">
        <w:rPr>
          <w:rtl w:val="0"/>
        </w:rPr>
      </w:r>
    </w:p>
    <w:p w:rsidR="00000000" w:rsidDel="00000000" w:rsidP="00000000" w:rsidRDefault="00000000" w:rsidRPr="00000000" w14:paraId="00000013">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HUỲNH MINH TRIỀU (BN14651)</w:t>
      </w:r>
      <w:r w:rsidDel="00000000" w:rsidR="00000000" w:rsidRPr="00000000">
        <w:rPr>
          <w:rFonts w:ascii="Times New Roman" w:cs="Times New Roman" w:eastAsia="Times New Roman" w:hAnsi="Times New Roman"/>
          <w:sz w:val="26"/>
          <w:szCs w:val="26"/>
          <w:rtl w:val="0"/>
        </w:rPr>
        <w:t xml:space="preserve">, Giới tính: Nam, sinh năm 1998,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2"/>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Số CMND/CCCD: 352420251. </w:t>
      </w:r>
      <w:r w:rsidDel="00000000" w:rsidR="00000000" w:rsidRPr="00000000">
        <w:rPr>
          <w:rtl w:val="0"/>
        </w:rPr>
      </w:r>
    </w:p>
    <w:p w:rsidR="00000000" w:rsidDel="00000000" w:rsidP="00000000" w:rsidRDefault="00000000" w:rsidRPr="00000000" w14:paraId="00000015">
      <w:pPr>
        <w:numPr>
          <w:ilvl w:val="0"/>
          <w:numId w:val="2"/>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Số 5/3 Hồ Học Lãm, phường 16, Quận 8, thành phố Hồ Chí Minh.</w:t>
      </w:r>
    </w:p>
    <w:p w:rsidR="00000000" w:rsidDel="00000000" w:rsidP="00000000" w:rsidRDefault="00000000" w:rsidRPr="00000000" w14:paraId="00000016">
      <w:pPr>
        <w:numPr>
          <w:ilvl w:val="0"/>
          <w:numId w:val="2"/>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Công nhân, khâu xưởng cắt.</w:t>
      </w:r>
    </w:p>
    <w:p w:rsidR="00000000" w:rsidDel="00000000" w:rsidP="00000000" w:rsidRDefault="00000000" w:rsidRPr="00000000" w14:paraId="00000017">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Công ty TNHH 3Q Vina - Số 8 An Dương Vương, phường 16, quận 8, Thành phố Hồ Chí Minh.</w:t>
      </w:r>
      <w:r w:rsidDel="00000000" w:rsidR="00000000" w:rsidRPr="00000000">
        <w:rPr>
          <w:rtl w:val="0"/>
        </w:rPr>
      </w:r>
    </w:p>
    <w:p w:rsidR="00000000" w:rsidDel="00000000" w:rsidP="00000000" w:rsidRDefault="00000000" w:rsidRPr="00000000" w14:paraId="00000018">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0822886751.</w:t>
      </w:r>
      <w:r w:rsidDel="00000000" w:rsidR="00000000" w:rsidRPr="00000000">
        <w:rPr>
          <w:rtl w:val="0"/>
        </w:rPr>
      </w:r>
    </w:p>
    <w:p w:rsidR="00000000" w:rsidDel="00000000" w:rsidP="00000000" w:rsidRDefault="00000000" w:rsidRPr="00000000" w14:paraId="00000019">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A">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Ngày tiếp xúc cuối với BN 13598 Nguyễn Đoàn Dự là ngày 8/6/2021, nơi tiếp xúc: Công ty TNHH 3Q Vina.</w:t>
      </w:r>
    </w:p>
    <w:p w:rsidR="00000000" w:rsidDel="00000000" w:rsidP="00000000" w:rsidRDefault="00000000" w:rsidRPr="00000000" w14:paraId="0000001B">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xét nghiệm lần 01 ngày 21/06/2021 và có kết quả XN dương tính với SAR-CoV-2  vào ngày 24/06/2021.</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tại địa chỉ số 5/3 Hồ Học Lãm, phường 16, Quận 8, thành phố Hồ Chí Minh cùng với: </w:t>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 Huỳnh Văn Chốt, 1972, 0342443577, CMND/CCCD: 350348306.</w:t>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Nguyễn Thị Thắm, 1968, 0355319707, CMND/CCCD: 350780192.</w:t>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10 - 21/06/2021, BN đi làm ở công ty TNHH 3Q Vina, tại địa chỉ: số 8 An Dương Vương, phường 16, quận 8, Thành phố Hồ Chí Minh; từ 7h30 - 21h30 đi làm rồi về nhà chứ không đi đâu nữa, chủ nhật thì nghỉ ở nhà. Ở cùng nhà với ba mẹ, ăn uống hằng ngày là mẹ nấu.</w:t>
      </w:r>
    </w:p>
    <w:p w:rsidR="00000000" w:rsidDel="00000000" w:rsidP="00000000" w:rsidRDefault="00000000" w:rsidRPr="00000000" w14:paraId="00000021">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Hằng ngày sáng ăn sáng tại nhà, trưa ăn cơm ở công ty (cơm công ty nấu) có ăn chung với 5 bạn ở công ty, xong rồi có mua nước ngọt ở căn tin (thường ngày nào cũng mua). Nhóm 5 người bạn hay ăn chung với BN, cả 05 anh này nhà ở phường 16, quận 8, và làm cùng công ty, được đi cách ly cùng ngày với anh Triều (21/06/2021) gồm:</w:t>
      </w:r>
    </w:p>
    <w:p w:rsidR="00000000" w:rsidDel="00000000" w:rsidP="00000000" w:rsidRDefault="00000000" w:rsidRPr="00000000" w14:paraId="00000022">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Đoàn Văn Đồng, 0372382012</w:t>
      </w:r>
    </w:p>
    <w:p w:rsidR="00000000" w:rsidDel="00000000" w:rsidP="00000000" w:rsidRDefault="00000000" w:rsidRPr="00000000" w14:paraId="00000023">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Sang, 0886211604</w:t>
      </w:r>
    </w:p>
    <w:p w:rsidR="00000000" w:rsidDel="00000000" w:rsidP="00000000" w:rsidRDefault="00000000" w:rsidRPr="00000000" w14:paraId="00000024">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0766771735</w:t>
      </w:r>
    </w:p>
    <w:p w:rsidR="00000000" w:rsidDel="00000000" w:rsidP="00000000" w:rsidRDefault="00000000" w:rsidRPr="00000000" w14:paraId="00000025">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Trí, 0397407348</w:t>
      </w:r>
    </w:p>
    <w:p w:rsidR="00000000" w:rsidDel="00000000" w:rsidP="00000000" w:rsidRDefault="00000000" w:rsidRPr="00000000" w14:paraId="00000026">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 0855661617</w:t>
      </w:r>
    </w:p>
    <w:p w:rsidR="00000000" w:rsidDel="00000000" w:rsidP="00000000" w:rsidRDefault="00000000" w:rsidRPr="00000000" w14:paraId="00000027">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Khâu anh làm khoảng 25 người, thì thường hay đi ngang qua mặt nhau, thỉnh thoảng mới tiếp xúc với nhau thôi. Có tiếp xúc thân với anh Trí (0397407348) trong công ty.</w:t>
      </w:r>
    </w:p>
    <w:p w:rsidR="00000000" w:rsidDel="00000000" w:rsidP="00000000" w:rsidRDefault="00000000" w:rsidRPr="00000000" w14:paraId="00000028">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cũng hay ghé thăm nhà bạn gái tên Ngọc Huyền (0363885970, địa chỉ: An Dương Vương, phường 16, quận 8)</w:t>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17/6/2021 có nhận hàng Lazada mã đơn hàng là: LMP0043990708VNA  - không có số điện thoại.</w:t>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21 - 24/06/2021, BN thực hiện cách ly tại KCLTT Ký túc xá trường Nguyễn Thị Định, địa chỉ: 215 Đường Hoàng Ngân, Phường 16, Quận 8, Thành phố Hồ Chí Minh</w:t>
      </w:r>
      <w:r w:rsidDel="00000000" w:rsidR="00000000" w:rsidRPr="00000000">
        <w:rPr>
          <w:rtl w:val="0"/>
        </w:rPr>
      </w:r>
    </w:p>
    <w:p w:rsidR="00000000" w:rsidDel="00000000" w:rsidP="00000000" w:rsidRDefault="00000000" w:rsidRPr="00000000" w14:paraId="0000002B">
      <w:pPr>
        <w:numPr>
          <w:ilvl w:val="0"/>
          <w:numId w:val="7"/>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b w:val="1"/>
          <w:sz w:val="26"/>
          <w:szCs w:val="26"/>
          <w:rtl w:val="0"/>
        </w:rPr>
        <w:t xml:space="preserve">Lấy mẫu xét nghiệm:</w:t>
      </w:r>
      <w:r w:rsidDel="00000000" w:rsidR="00000000" w:rsidRPr="00000000">
        <w:rPr>
          <w:rFonts w:ascii="Times New Roman" w:cs="Times New Roman" w:eastAsia="Times New Roman" w:hAnsi="Times New Roman"/>
          <w:sz w:val="26"/>
          <w:szCs w:val="26"/>
          <w:rtl w:val="0"/>
        </w:rPr>
        <w:t xml:space="preserve"> BN được lấy mẫu 01 lần </w:t>
      </w:r>
      <w:r w:rsidDel="00000000" w:rsidR="00000000" w:rsidRPr="00000000">
        <w:rPr>
          <w:rtl w:val="0"/>
        </w:rPr>
      </w:r>
    </w:p>
    <w:p w:rsidR="00000000" w:rsidDel="00000000" w:rsidP="00000000" w:rsidRDefault="00000000" w:rsidRPr="00000000" w14:paraId="0000002C">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BN xét nghiệm lần 01 ngày 21/06/2021 và có kết quả XN dương tính với SAR-CoV-2  vào ngày 24/06/2021.</w:t>
      </w:r>
    </w:p>
    <w:p w:rsidR="00000000" w:rsidDel="00000000" w:rsidP="00000000" w:rsidRDefault="00000000" w:rsidRPr="00000000" w14:paraId="0000002D">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Hiện tại chưa ghi nhận triệu chứng bất thường.</w:t>
      </w:r>
      <w:r w:rsidDel="00000000" w:rsidR="00000000" w:rsidRPr="00000000">
        <w:rPr>
          <w:rtl w:val="0"/>
        </w:rPr>
      </w:r>
    </w:p>
    <w:p w:rsidR="00000000" w:rsidDel="00000000" w:rsidP="00000000" w:rsidRDefault="00000000" w:rsidRPr="00000000" w14:paraId="0000002E">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w:t>
      </w:r>
      <w:r w:rsidDel="00000000" w:rsidR="00000000" w:rsidRPr="00000000">
        <w:rPr>
          <w:rFonts w:ascii="Times New Roman" w:cs="Times New Roman" w:eastAsia="Times New Roman" w:hAnsi="Times New Roman"/>
          <w:sz w:val="26"/>
          <w:szCs w:val="26"/>
          <w:highlight w:val="yellow"/>
          <w:rtl w:val="0"/>
        </w:rPr>
        <w:t xml:space="preserve">cách ly điều trị tại BV.</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6">
            <w:pPr>
              <w:numPr>
                <w:ilvl w:val="0"/>
                <w:numId w:val="8"/>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8">
            <w:pPr>
              <w:numPr>
                <w:ilvl w:val="0"/>
                <w:numId w:val="8"/>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8"/>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8"/>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E">
            <w:pPr>
              <w:numPr>
                <w:ilvl w:val="0"/>
                <w:numId w:val="8"/>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3F">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4b/j0ww0HZJ1suvA9m/NfG4/Q==">AMUW2mU6V4Glab5UFKFsGcna8FzUElWWuFLSeGPd/3CDCOa8ookBpisIPjLCgnTGG1sJZVG8TDlaN+TY5yekYZq9xqFcgFlUXht930ao+HEI9uurhQ5/fFKGrNz4ssQ4PqUKyMrHL1werL1LeiXdEzGBQYpeXRFSCQ==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