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9916</w:t>
      </w: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9916</w:t>
      </w:r>
      <w:r w:rsidDel="00000000" w:rsidR="00000000" w:rsidRPr="00000000">
        <w:rPr>
          <w:rFonts w:ascii="Times New Roman" w:cs="Times New Roman" w:eastAsia="Times New Roman" w:hAnsi="Times New Roman"/>
          <w:color w:val="000000"/>
          <w:sz w:val="26"/>
          <w:szCs w:val="26"/>
          <w:vertAlign w:val="baseline"/>
          <w:rtl w:val="0"/>
        </w:rPr>
        <w:t xml:space="preserve"> tại thành phố Hồ Chí Minh như sau:</w:t>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9"/>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color w:val="000000"/>
          <w:sz w:val="26"/>
          <w:szCs w:val="26"/>
          <w:vertAlign w:val="baseline"/>
          <w:rtl w:val="0"/>
        </w:rPr>
        <w:t xml:space="preserve">/06/2021 .</w:t>
      </w:r>
    </w:p>
    <w:p w:rsidR="00000000" w:rsidDel="00000000" w:rsidP="00000000" w:rsidRDefault="00000000" w:rsidRPr="00000000" w14:paraId="00000013">
      <w:pPr>
        <w:numPr>
          <w:ilvl w:val="0"/>
          <w:numId w:val="9"/>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LÊ THỊ LỊP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9916</w:t>
      </w:r>
      <w:r w:rsidDel="00000000" w:rsidR="00000000" w:rsidRPr="00000000">
        <w:rPr>
          <w:rFonts w:ascii="Times New Roman" w:cs="Times New Roman" w:eastAsia="Times New Roman" w:hAnsi="Times New Roman"/>
          <w:color w:val="000000"/>
          <w:sz w:val="26"/>
          <w:szCs w:val="26"/>
          <w:vertAlign w:val="baseline"/>
          <w:rtl w:val="0"/>
        </w:rPr>
        <w:t xml:space="preserve">), nữ, sinh năm 1993, quốc tịch: Việt Nam.</w:t>
      </w:r>
      <w:r w:rsidDel="00000000" w:rsidR="00000000" w:rsidRPr="00000000">
        <w:rPr>
          <w:rtl w:val="0"/>
        </w:rPr>
      </w:r>
    </w:p>
    <w:p w:rsidR="00000000" w:rsidDel="00000000" w:rsidP="00000000" w:rsidRDefault="00000000" w:rsidRPr="00000000" w14:paraId="00000014">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191869345</w:t>
      </w:r>
    </w:p>
    <w:p w:rsidR="00000000" w:rsidDel="00000000" w:rsidP="00000000" w:rsidRDefault="00000000" w:rsidRPr="00000000" w14:paraId="00000015">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w:t>
      </w:r>
      <w:r w:rsidDel="00000000" w:rsidR="00000000" w:rsidRPr="00000000">
        <w:rPr>
          <w:rFonts w:ascii="Times New Roman" w:cs="Times New Roman" w:eastAsia="Times New Roman" w:hAnsi="Times New Roman"/>
          <w:color w:val="ff0000"/>
          <w:sz w:val="26"/>
          <w:szCs w:val="26"/>
          <w:vertAlign w:val="baseline"/>
          <w:rtl w:val="0"/>
        </w:rPr>
        <w:t xml:space="preserve">48 Lô A, Khu tái định cư, Phường 16, quận 8</w:t>
      </w:r>
    </w:p>
    <w:p w:rsidR="00000000" w:rsidDel="00000000" w:rsidP="00000000" w:rsidRDefault="00000000" w:rsidRPr="00000000" w14:paraId="00000016">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Đại chỉ làm việc:  </w:t>
      </w:r>
      <w:r w:rsidDel="00000000" w:rsidR="00000000" w:rsidRPr="00000000">
        <w:rPr>
          <w:rFonts w:ascii="Times New Roman" w:cs="Times New Roman" w:eastAsia="Times New Roman" w:hAnsi="Times New Roman"/>
          <w:color w:val="ff0000"/>
          <w:sz w:val="26"/>
          <w:szCs w:val="26"/>
          <w:vertAlign w:val="baseline"/>
          <w:rtl w:val="0"/>
        </w:rPr>
        <w:t xml:space="preserve">Tầng trệt, block A9, chung cư Ehome3, phường An Lạc, quận Bình Tân.</w:t>
      </w:r>
    </w:p>
    <w:p w:rsidR="00000000" w:rsidDel="00000000" w:rsidP="00000000" w:rsidRDefault="00000000" w:rsidRPr="00000000" w14:paraId="00000017">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w:t>
      </w:r>
      <w:r w:rsidDel="00000000" w:rsidR="00000000" w:rsidRPr="00000000">
        <w:rPr>
          <w:rFonts w:ascii="Times New Roman" w:cs="Times New Roman" w:eastAsia="Times New Roman" w:hAnsi="Times New Roman"/>
          <w:b w:val="0"/>
          <w:i w:val="0"/>
          <w:sz w:val="26"/>
          <w:szCs w:val="26"/>
          <w:rtl w:val="0"/>
        </w:rPr>
        <w:t xml:space="preserve">iệp:</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color w:val="ff0000"/>
          <w:sz w:val="26"/>
          <w:szCs w:val="26"/>
          <w:vertAlign w:val="baseline"/>
          <w:rtl w:val="0"/>
        </w:rPr>
        <w:t xml:space="preserve">Bảo vệ gi</w:t>
      </w:r>
      <w:r w:rsidDel="00000000" w:rsidR="00000000" w:rsidRPr="00000000">
        <w:rPr>
          <w:rFonts w:ascii="Times New Roman" w:cs="Times New Roman" w:eastAsia="Times New Roman" w:hAnsi="Times New Roman"/>
          <w:color w:val="ff0000"/>
          <w:sz w:val="26"/>
          <w:szCs w:val="26"/>
          <w:rtl w:val="0"/>
        </w:rPr>
        <w:t xml:space="preserve">ữ xe</w:t>
      </w:r>
      <w:r w:rsidDel="00000000" w:rsidR="00000000" w:rsidRPr="00000000">
        <w:rPr>
          <w:rtl w:val="0"/>
        </w:rPr>
      </w:r>
    </w:p>
    <w:p w:rsidR="00000000" w:rsidDel="00000000" w:rsidP="00000000" w:rsidRDefault="00000000" w:rsidRPr="00000000" w14:paraId="00000018">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0389418203</w:t>
      </w:r>
    </w:p>
    <w:p w:rsidR="00000000" w:rsidDel="00000000" w:rsidP="00000000" w:rsidRDefault="00000000" w:rsidRPr="00000000" w14:paraId="00000019">
      <w:pPr>
        <w:numPr>
          <w:ilvl w:val="0"/>
          <w:numId w:val="9"/>
        </w:numPr>
        <w:shd w:fill="ffffff" w:val="clear"/>
        <w:spacing w:after="0" w:line="360" w:lineRule="auto"/>
        <w:ind w:left="720" w:hanging="360"/>
        <w:jc w:val="both"/>
        <w:rPr>
          <w:rFonts w:ascii="Times New Roman" w:cs="Times New Roman" w:eastAsia="Times New Roman" w:hAnsi="Times New Roman"/>
          <w:color w:val="980000"/>
          <w:sz w:val="26"/>
          <w:szCs w:val="26"/>
          <w:shd w:fill="ff9900" w:val="clear"/>
          <w:vertAlign w:val="baseline"/>
        </w:rPr>
      </w:pPr>
      <w:r w:rsidDel="00000000" w:rsidR="00000000" w:rsidRPr="00000000">
        <w:rPr>
          <w:rFonts w:ascii="Times New Roman" w:cs="Times New Roman" w:eastAsia="Times New Roman" w:hAnsi="Times New Roman"/>
          <w:color w:val="980000"/>
          <w:sz w:val="26"/>
          <w:szCs w:val="26"/>
          <w:shd w:fill="ff9900" w:val="clear"/>
          <w:vertAlign w:val="baseline"/>
          <w:rtl w:val="0"/>
        </w:rPr>
        <w:t xml:space="preserve">Triệu chứng: Sốt ngày 6/6, ho và đau bụng ngày 10/6.</w:t>
      </w:r>
    </w:p>
    <w:p w:rsidR="00000000" w:rsidDel="00000000" w:rsidP="00000000" w:rsidRDefault="00000000" w:rsidRPr="00000000" w14:paraId="0000001A">
      <w:pPr>
        <w:numPr>
          <w:ilvl w:val="0"/>
          <w:numId w:val="9"/>
        </w:numPr>
        <w:shd w:fill="ffffff" w:val="clear"/>
        <w:spacing w:after="0" w:line="360" w:lineRule="auto"/>
        <w:ind w:left="720" w:hanging="36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BN được lấy mẫu xét nghiệm lần 1 ngày 7/6/2021 kết quả dương tính, theo diện khu phong tỏa t</w:t>
      </w:r>
      <w:r w:rsidDel="00000000" w:rsidR="00000000" w:rsidRPr="00000000">
        <w:rPr>
          <w:rFonts w:ascii="Times New Roman" w:cs="Times New Roman" w:eastAsia="Times New Roman" w:hAnsi="Times New Roman"/>
          <w:color w:val="ff0000"/>
          <w:sz w:val="26"/>
          <w:szCs w:val="26"/>
          <w:rtl w:val="0"/>
        </w:rPr>
        <w:t xml:space="preserve">ại </w:t>
      </w:r>
      <w:r w:rsidDel="00000000" w:rsidR="00000000" w:rsidRPr="00000000">
        <w:rPr>
          <w:rFonts w:ascii="Times New Roman" w:cs="Times New Roman" w:eastAsia="Times New Roman" w:hAnsi="Times New Roman"/>
          <w:color w:val="ff0000"/>
          <w:sz w:val="26"/>
          <w:szCs w:val="26"/>
          <w:vertAlign w:val="baseline"/>
          <w:rtl w:val="0"/>
        </w:rPr>
        <w:t xml:space="preserve">phường 16, quận 8 ngày 7/6/2021. Ngày tiếp xúc cuối cùng với ca dương: ngày 07/06/2021.</w:t>
      </w:r>
    </w:p>
    <w:p w:rsidR="00000000" w:rsidDel="00000000" w:rsidP="00000000" w:rsidRDefault="00000000" w:rsidRPr="00000000" w14:paraId="0000001B">
      <w:pPr>
        <w:numPr>
          <w:ilvl w:val="0"/>
          <w:numId w:val="8"/>
        </w:numPr>
        <w:spacing w:after="0" w:line="24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Sống chung với chị Lê Thị Liệp (1996/ SĐT: 0366273117) tại địa chỉ 48 Lô A, Khu tái định cư, Phường 16, quận 8. ( Hiện tại đã lấy mẫu xét nghiệm, cách ly tại nhà )</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Ăn sáng tại nhà, trưa nấu cơm dỡ theo ăn, buổi tối bạn cùng phòng nấu cho ăn ( Bạn cùng phòng thường hay mua đồ ở quán tạp hóa Như Ý) ( Hiện tại đang cách ly tại nhà của người quen ). Đi làm có bạn cùng phòng chở đi.</w:t>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23/5 có tiếp xúc với đội trưởng đội bảo vệ tên Nguyễn Văn Thân (Sdt: 0946923463 )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chưa cách ly và vẫn đi làm)</w:t>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ngày 28/5: Đi làm từ 6 giờ sáng đến 18h giờ, sau đó về nhà ăn cơm và không đi đâu.</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28/5 đến 6/6: Đi làm từ 6 giờ sáng đến 22h, sau đó về nhà và không đi đâu.</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31/5: </w:t>
      </w:r>
      <w:r w:rsidDel="00000000" w:rsidR="00000000" w:rsidRPr="00000000">
        <w:rPr>
          <w:rFonts w:ascii="Times New Roman" w:cs="Times New Roman" w:eastAsia="Times New Roman" w:hAnsi="Times New Roman"/>
          <w:sz w:val="26"/>
          <w:szCs w:val="26"/>
          <w:rtl w:val="0"/>
        </w:rPr>
        <w:t xml:space="preserve">Đi làm bình thường, rồi trở về nhà. Lúc 20h đến 20h30 có đi châm cứu tại căn hộ 807 block A9 Ehome 3, phường An Lạc, quận Bình Tân. Người trực tiếp thực hiện là chú Hải (SĐT: 0918874231)</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6/6: Sáng có có được 1 chị ở block A9 mua bánh mì cho ăn.( SDT: 0908243305 ) ( có mang khẩu trang ) ( Chưa lấy mẫu, chưa cách ly )</w:t>
      </w:r>
    </w:p>
    <w:p w:rsidR="00000000" w:rsidDel="00000000" w:rsidP="00000000" w:rsidRDefault="00000000" w:rsidRPr="00000000" w14:paraId="0000002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7/6: Lấy mẫu xét nghiệm và cách ly tại nhà trọ</w:t>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8/6 : Lấy mẫu xét nghiệm lần 2 chưa có kết quả xét nghiệm.</w:t>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10/6: Tối được đưa cách ly tại bệnh viện Cần Giờ.</w:t>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Đau thần kinh tọa.</w:t>
      </w:r>
    </w:p>
    <w:p w:rsidR="00000000" w:rsidDel="00000000" w:rsidP="00000000" w:rsidRDefault="00000000" w:rsidRPr="00000000" w14:paraId="00000028">
      <w:pPr>
        <w:numPr>
          <w:ilvl w:val="0"/>
          <w:numId w:val="8"/>
        </w:numPr>
        <w:shd w:fill="ffffff" w:val="clear"/>
        <w:spacing w:after="0" w:line="240" w:lineRule="auto"/>
        <w:ind w:left="720" w:hanging="360"/>
        <w:jc w:val="both"/>
        <w:rPr>
          <w:rFonts w:ascii="Times New Roman" w:cs="Times New Roman" w:eastAsia="Times New Roman" w:hAnsi="Times New Roman"/>
          <w:b w:val="0"/>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9">
      <w:pPr>
        <w:shd w:fill="ffffff" w:val="clear"/>
        <w:spacing w:after="0" w:line="24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2A">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điều trị</w:t>
      </w:r>
    </w:p>
    <w:p w:rsidR="00000000" w:rsidDel="00000000" w:rsidP="00000000" w:rsidRDefault="00000000" w:rsidRPr="00000000" w14:paraId="0000002B">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2C">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2D">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2E">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2F">
      <w:pPr>
        <w:shd w:fill="ffffff" w:val="clear"/>
        <w:spacing w:after="0" w:line="24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30">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31">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32">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36">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38">
            <w:pPr>
              <w:numPr>
                <w:ilvl w:val="0"/>
                <w:numId w:val="2"/>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A">
            <w:pPr>
              <w:numPr>
                <w:ilvl w:val="0"/>
                <w:numId w:val="3"/>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C">
            <w:pPr>
              <w:numPr>
                <w:ilvl w:val="0"/>
                <w:numId w:val="4"/>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E">
            <w:pPr>
              <w:numPr>
                <w:ilvl w:val="0"/>
                <w:numId w:val="5"/>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40">
            <w:pPr>
              <w:numPr>
                <w:ilvl w:val="0"/>
                <w:numId w:val="6"/>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41">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(NTT, HCN – 8b)</w:t>
            </w:r>
          </w:p>
          <w:p w:rsidR="00000000" w:rsidDel="00000000" w:rsidP="00000000" w:rsidRDefault="00000000" w:rsidRPr="00000000" w14:paraId="00000042">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46">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47">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8">
      <w:pPr>
        <w:shd w:fill="ffffff" w:val="clear"/>
        <w:spacing w:after="0" w:line="24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p w:rsidR="00000000" w:rsidDel="00000000" w:rsidP="00000000" w:rsidRDefault="00000000" w:rsidRPr="00000000" w14:paraId="00000049">
      <w:pPr>
        <w:ind w:left="0" w:firstLine="0"/>
        <w:rPr>
          <w:vertAlign w:val="baseline"/>
        </w:rPr>
      </w:pPr>
      <w:bookmarkStart w:colFirst="0" w:colLast="0" w:name="_heading=h.gjdgxs" w:id="0"/>
      <w:bookmarkEnd w:id="0"/>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4" w:default="1">
    <w:name w:val="Normal Table"/>
    <w:uiPriority w:val="0"/>
    <w:semiHidden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5">
    <w:name w:val="Table Grid"/>
    <w:basedOn w:val="14"/>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6" w:customStyle="1">
    <w:name w:val="Table Normal1"/>
    <w:uiPriority w:val="0"/>
  </w:style>
  <w:style w:type="table" w:styleId="17"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8" w:customStyle="1">
    <w:name w:val="Header Char"/>
    <w:uiPriority w:val="0"/>
    <w:rPr>
      <w:w w:val="100"/>
      <w:position w:val="-1"/>
      <w:sz w:val="22"/>
      <w:szCs w:val="22"/>
      <w:vertAlign w:val="baseline"/>
      <w:cs w:val="0"/>
    </w:rPr>
  </w:style>
  <w:style w:type="character" w:styleId="19" w:customStyle="1">
    <w:name w:val="Footer Char"/>
    <w:uiPriority w:val="0"/>
    <w:rPr>
      <w:w w:val="100"/>
      <w:position w:val="-1"/>
      <w:sz w:val="22"/>
      <w:szCs w:val="22"/>
      <w:vertAlign w:val="baseline"/>
      <w:cs w:val="0"/>
    </w:rPr>
  </w:style>
  <w:style w:type="table" w:styleId="20" w:customStyle="1">
    <w:name w:val="_Style 18"/>
    <w:basedOn w:val="16"/>
    <w:uiPriority w:val="0"/>
    <w:tblPr>
      <w:tblLayout w:type="fixed"/>
      <w:tblCellMar>
        <w:top w:w="15.0" w:type="dxa"/>
        <w:left w:w="15.0" w:type="dxa"/>
        <w:bottom w:w="15.0" w:type="dxa"/>
        <w:right w:w="15.0" w:type="dxa"/>
      </w:tblCellMar>
    </w:tblPr>
  </w:style>
  <w:style w:type="table" w:styleId="21" w:customStyle="1">
    <w:name w:val="_Style 19"/>
    <w:basedOn w:val="16"/>
    <w:uiPriority w:val="0"/>
    <w:tblPr>
      <w:tblLayout w:type="fixed"/>
      <w:tblCellMar>
        <w:top w:w="15.0" w:type="dxa"/>
        <w:left w:w="15.0" w:type="dxa"/>
        <w:bottom w:w="15.0" w:type="dxa"/>
        <w:right w:w="15.0" w:type="dxa"/>
      </w:tblCellMar>
    </w:tblPr>
  </w:style>
  <w:style w:type="paragraph" w:styleId="22">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QW+r6SMRgEJ7HSR45XdBCmqBJQ==">AMUW2mXw0GURhATDEbzIbtnpRj7pNlF2ijhYyg3dYdDfwsrrz6DrT97WM5KLQyiJXXJ7sp0PE/ddbHBw7t1Kad2m1yWBj3EmLPP+4ACGXGQbNH4NWUobiuFLR7AYKjpDxcQLUJybxuBD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