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12217</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12217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16 giờ 00 phút, ngày 17/06/2021.</w:t>
      </w:r>
    </w:p>
    <w:p w:rsidR="00000000" w:rsidDel="00000000" w:rsidP="00000000" w:rsidRDefault="00000000" w:rsidRPr="00000000" w14:paraId="00000013">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TRẦN CHÍ TOÀN </w:t>
      </w:r>
      <w:r w:rsidDel="00000000" w:rsidR="00000000" w:rsidRPr="00000000">
        <w:rPr>
          <w:rFonts w:ascii="Times New Roman" w:cs="Times New Roman" w:eastAsia="Times New Roman" w:hAnsi="Times New Roman"/>
          <w:color w:val="000000"/>
          <w:sz w:val="26"/>
          <w:szCs w:val="26"/>
          <w:rtl w:val="0"/>
        </w:rPr>
        <w:t xml:space="preserve">(BN12217), nam, sinh năm 1988, quốc tịch: Việt Nam, Chứng minh nhân dân: 079088010010</w:t>
      </w:r>
      <w:r w:rsidDel="00000000" w:rsidR="00000000" w:rsidRPr="00000000">
        <w:rPr>
          <w:rFonts w:ascii="Times New Roman" w:cs="Times New Roman" w:eastAsia="Times New Roman" w:hAnsi="Times New Roman"/>
          <w:sz w:val="26"/>
          <w:szCs w:val="26"/>
          <w:rtl w:val="0"/>
        </w:rPr>
        <w:t xml:space="preserve">. Tôn giáo: Phật.</w:t>
      </w:r>
      <w:r w:rsidDel="00000000" w:rsidR="00000000" w:rsidRPr="00000000">
        <w:rPr>
          <w:rtl w:val="0"/>
        </w:rPr>
      </w:r>
    </w:p>
    <w:p w:rsidR="00000000" w:rsidDel="00000000" w:rsidP="00000000" w:rsidRDefault="00000000" w:rsidRPr="00000000" w14:paraId="00000014">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16</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color w:val="000000"/>
          <w:sz w:val="26"/>
          <w:szCs w:val="26"/>
          <w:rtl w:val="0"/>
        </w:rPr>
        <w:t xml:space="preserve">18 Vạn Tượng, phường 13, quận 5, TP. Hồ Chí Minh.</w:t>
      </w:r>
    </w:p>
    <w:p w:rsidR="00000000" w:rsidDel="00000000" w:rsidP="00000000" w:rsidRDefault="00000000" w:rsidRPr="00000000" w14:paraId="00000015">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lưới, cước, tại nhà.</w:t>
      </w:r>
    </w:p>
    <w:p w:rsidR="00000000" w:rsidDel="00000000" w:rsidP="00000000" w:rsidRDefault="00000000" w:rsidRPr="00000000" w14:paraId="00000016">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0903878110</w:t>
      </w:r>
    </w:p>
    <w:p w:rsidR="00000000" w:rsidDel="00000000" w:rsidP="00000000" w:rsidRDefault="00000000" w:rsidRPr="00000000" w14:paraId="00000017">
      <w:pPr>
        <w:numPr>
          <w:ilvl w:val="0"/>
          <w:numId w:val="1"/>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lúc 1 giờ sáng ngày 11/06/2021 (không thông báo kết quả), lần 2 lúc 1 giờ sáng ngày 14/06/2021  theo diện tiếp xúc gần với ổ dịch vựa ve chai và có kết quả XN dương tính với SARS-CoV-2. </w:t>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9">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Gia đình BN có 6 người: Gồm BN, ba là Trần Tuấn Vinh sinh năm 1952 hiện đã đi cách ly ở Củ Chi, mẹ là Nguyễn Thị Hoàng Em sinh năm 1959 (sđt 0908221232), chị là Trần Mỹ Phụng (sđt 0936088911), cháu là La Gia Lương, La Gia Phát, </w:t>
      </w:r>
      <w:r w:rsidDel="00000000" w:rsidR="00000000" w:rsidRPr="00000000">
        <w:rPr>
          <w:rFonts w:ascii="Times New Roman" w:cs="Times New Roman" w:eastAsia="Times New Roman" w:hAnsi="Times New Roman"/>
          <w:sz w:val="26"/>
          <w:szCs w:val="26"/>
          <w:rtl w:val="0"/>
        </w:rPr>
        <w:t xml:space="preserve">BN Trần Thế Khánh</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1A">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Trước đó đến ngày 10/06/2021 BN thường xuyên đưa đón Trần Thế Khánh (đã dương tính), </w:t>
      </w:r>
      <w:r w:rsidDel="00000000" w:rsidR="00000000" w:rsidRPr="00000000">
        <w:rPr>
          <w:rFonts w:ascii="Times New Roman" w:cs="Times New Roman" w:eastAsia="Times New Roman" w:hAnsi="Times New Roman"/>
          <w:sz w:val="26"/>
          <w:szCs w:val="26"/>
          <w:rtl w:val="0"/>
        </w:rPr>
        <w:t xml:space="preserve">tại địa chỉ 19 Lê Thánh Tôn, Luine phường Bến Nghé, quận 1, </w:t>
      </w:r>
      <w:r w:rsidDel="00000000" w:rsidR="00000000" w:rsidRPr="00000000">
        <w:rPr>
          <w:rFonts w:ascii="Times New Roman" w:cs="Times New Roman" w:eastAsia="Times New Roman" w:hAnsi="Times New Roman"/>
          <w:color w:val="000000"/>
          <w:sz w:val="26"/>
          <w:szCs w:val="26"/>
          <w:rtl w:val="0"/>
        </w:rPr>
        <w:t xml:space="preserve">rồi về, không tiếp xúc với ai khác. H</w:t>
      </w:r>
      <w:r w:rsidDel="00000000" w:rsidR="00000000" w:rsidRPr="00000000">
        <w:rPr>
          <w:rFonts w:ascii="Times New Roman" w:cs="Times New Roman" w:eastAsia="Times New Roman" w:hAnsi="Times New Roman"/>
          <w:sz w:val="26"/>
          <w:szCs w:val="26"/>
          <w:rtl w:val="0"/>
        </w:rPr>
        <w:t xml:space="preserve">àng ngày tại nhà BN có khoảng hơn 30 người đến nhà BN làm việc và buôn bán, BN là người thu và trả tiền cho khách hàng (đa phần các trường hợp này đã dương, BN không nắm thông tin những người này). Ngoài ra thỉnh thoàng có người đến mua hàng, BN không nắm được thông tin của những khác hàng này.</w:t>
      </w:r>
      <w:r w:rsidDel="00000000" w:rsidR="00000000" w:rsidRPr="00000000">
        <w:rPr>
          <w:rtl w:val="0"/>
        </w:rPr>
      </w:r>
    </w:p>
    <w:p w:rsidR="00000000" w:rsidDel="00000000" w:rsidP="00000000" w:rsidRDefault="00000000" w:rsidRPr="00000000" w14:paraId="0000001B">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28/05/2021 lúc 3 giờ đến 3 giờ 30 BN đi ngân hàng Sacombank chi nhánh Kim Biên, sau đó đi ngân hàng Eximbank chi nhánh Kim Biên.</w:t>
      </w:r>
    </w:p>
    <w:p w:rsidR="00000000" w:rsidDel="00000000" w:rsidP="00000000" w:rsidRDefault="00000000" w:rsidRPr="00000000" w14:paraId="0000001C">
      <w:pPr>
        <w:numPr>
          <w:ilvl w:val="0"/>
          <w:numId w:val="4"/>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02/06/2021 lúc 17 giờ đến 18 giờ 15, BN đi siêu thị Coop Mart Pvivo City, đi siêu thị với Trần Thế Khánh, có tiếp xúc nhân viên thu nhân.</w:t>
      </w:r>
    </w:p>
    <w:p w:rsidR="00000000" w:rsidDel="00000000" w:rsidP="00000000" w:rsidRDefault="00000000" w:rsidRPr="00000000" w14:paraId="0000001D">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Ngày </w:t>
      </w:r>
      <w:r w:rsidDel="00000000" w:rsidR="00000000" w:rsidRPr="00000000">
        <w:rPr>
          <w:rFonts w:ascii="Times New Roman" w:cs="Times New Roman" w:eastAsia="Times New Roman" w:hAnsi="Times New Roman"/>
          <w:color w:val="000000"/>
          <w:sz w:val="26"/>
          <w:szCs w:val="26"/>
          <w:rtl w:val="0"/>
        </w:rPr>
        <w:t xml:space="preserve">08/06/2021 không rõ thời gian, BN đi ngân hàng Sacombank chi nhánh Kim Biên, vào quầy để chuyển tiền (khai báo ý tế online ở đó), sau khi khai báo thì đưa điện thoại cho bảo vệ coi đã khai báo rồi đi vô.</w:t>
      </w:r>
      <w:r w:rsidDel="00000000" w:rsidR="00000000" w:rsidRPr="00000000">
        <w:rPr>
          <w:rtl w:val="0"/>
        </w:rPr>
      </w:r>
    </w:p>
    <w:p w:rsidR="00000000" w:rsidDel="00000000" w:rsidP="00000000" w:rsidRDefault="00000000" w:rsidRPr="00000000" w14:paraId="0000001E">
      <w:pPr>
        <w:numPr>
          <w:ilvl w:val="0"/>
          <w:numId w:val="4"/>
        </w:numPr>
        <w:spacing w:after="0" w:line="360" w:lineRule="auto"/>
        <w:ind w:left="1134" w:hanging="42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bắt đầu cách ly tại nhà từ 10/06/2021.</w:t>
      </w:r>
    </w:p>
    <w:p w:rsidR="00000000" w:rsidDel="00000000" w:rsidP="00000000" w:rsidRDefault="00000000" w:rsidRPr="00000000" w14:paraId="0000001F">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 nền: Viêm gan B mãn tính.</w:t>
      </w:r>
    </w:p>
    <w:p w:rsidR="00000000" w:rsidDel="00000000" w:rsidP="00000000" w:rsidRDefault="00000000" w:rsidRPr="00000000" w14:paraId="00000020">
      <w:pPr>
        <w:numPr>
          <w:ilvl w:val="0"/>
          <w:numId w:val="4"/>
        </w:numPr>
        <w:spacing w:after="0" w:line="360" w:lineRule="auto"/>
        <w:ind w:left="1134"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Triệu chứng: Sốt cao, ho, đàm xuất hiện từ ngày 11/06/2021. Thuốc có sẵn tại nhà.</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BN hiện đang ở nhà, chưa được đưa đi cách ly.</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5">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C">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E">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0">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TQH – 8b)</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5">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2">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ZTTY/cQ0Qlqt6g9CsARc0byNng==">AMUW2mVkljdi1Jxzd4bvu+/wEuQwkAxRD4mJPbFGXhRHZdsxPbAR+O+081h9WTtFbWn8Jy/WCDemCwo8ipw1vJulJ2R7vscpGLX5xsL3aHshH3zLNMDpi0xymXyaevjP3LezDtka6Kzs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2021-06-13T04:42:00Z</dcterms:created>
  <dc:creator>admin</dc:creator>
</cp:coreProperties>
</file>