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BÀI 13. ỨNG DỤNG HÌNH HỌC CỦA TÍCH PHÂN</w:t>
      </w:r>
    </w:p>
    <w:p>
      <w:r>
        <w:t>Thời gian thực hiện: 3 tiết</w:t>
      </w:r>
    </w:p>
    <w:p>
      <w:r>
        <w:t>I. MỤC TIÊU</w:t>
      </w:r>
    </w:p>
    <w:p>
      <w:r>
        <w:t>1. Về kiến thức:</w:t>
      </w:r>
    </w:p>
    <w:p>
      <w:r>
        <w:t xml:space="preserve">- MT1: Diện tích hình phẳng giới hạn bởi hai đường thẳng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+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>, .</w:t>
      </w:r>
    </w:p>
    <w:p>
      <m:oMathPara>
        <m:oMath>
          <m:nary>
            <m:naryPr>
              <m:chr m:val="∫"/>
            </m:naryPr>
            <m:sub>
              <m:r>
                <m:t xml:space="preserve">a</m:t>
              </m:r>
            </m:sub>
            <m:sup>
              <m:r>
                <m:t xml:space="preserve">b</m:t>
              </m:r>
            </m:sup>
            <m:e>
              <m:d>
                <m:dPr>
                  <m:begChr m:val="|"/>
                  <m:endChr m:val="|"/>
                </m:dPr>
                <m:e>
                  <m:r>
                    <m:t xml:space="preserve">f(x)-g(x)</m:t>
                  </m:r>
                </m:e>
              </m:d>
              <m:r>
                <m:t xml:space="preserve">dx</m:t>
              </m:r>
            </m:e>
          </m:nary>
        </m:oMath>
      </m:oMathPara>
    </w:p>
    <w:p>
      <w:r>
        <w:t xml:space="preserve">Điều kiện </w:t>
      </w:r>
      <m:oMath>
        <m:rad>
          <m:radPr>
            <m:degHide m:val="1"/>
          </m:radPr>
          <m:deg/>
          <m:e>
            <m:r>
              <m:t xml:space="preserve">x+1</m:t>
            </m:r>
          </m:e>
        </m:rad>
        <m:r>
          <m:t xml:space="preserve">≥</m:t>
        </m:r>
        <m:func>
          <m:fName>
            <m:r>
              <m:t xml:space="preserve">sin</m:t>
            </m:r>
          </m:fName>
          <m:e>
            <m:r>
              <m:t xml:space="preserve">x</m:t>
            </m:r>
          </m:e>
        </m:func>
      </m:oMath>
    </w:p>
    <w:p>
      <w:r>
        <w:t xml:space="preserve">Hệ: </w:t>
      </w:r>
      <m:oMath>
        <m:d>
          <m:dPr>
            <m:begChr m:val="{"/>
            <m:endChr m:val=""/>
          </m:dPr>
          <m:e>
            <m:eqArr>
              <m:e>
                <m:r>
                  <m:t xml:space="preserve">x+y=3</m:t>
                </m:r>
              </m:e>
              <m:e>
                <m:r>
                  <m:t xml:space="preserve">x-y=1</m:t>
                </m:r>
              </m:e>
            </m:eqArr>
          </m:e>
        </m:d>
      </m:oMath>
    </w:p>
    <w:p>
      <w:r>
        <w:t>2. Về năng lực: Tư duy.</w:t>
      </w:r>
    </w:p>
    <w:p>
      <w:r>
        <w:t>3. Về phẩm chất: Chăm chỉ.</w:t>
      </w:r>
    </w:p>
    <w:p>
      <w:r>
        <w:t>II. THIẾT BỊ DẠY HỌC VÀ HỌC LIỆU</w:t>
      </w:r>
    </w:p>
    <w:p>
      <w:r>
        <w:t>Máy chiếu.</w:t>
      </w:r>
    </w:p>
    <w:p>
      <w:r>
        <w:t>III. TIẾN TRÌNH DẠY HỌC</w:t>
      </w:r>
    </w:p>
    <w:p>
      <w:r>
        <w:t>1. HOẠT ĐỘNG 1: MỞ ĐẦU</w:t>
      </w:r>
    </w:p>
    <w:p>
      <w:r>
        <w:t>a) Mục tiêu: Gợi động cơ.</w:t>
      </w:r>
    </w:p>
    <w:p>
      <w:r>
        <w:t>b) Nội dung: Quan sát hình vẽ sau: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c) Sản phẩm: Câu trả lời.</w:t>
      </w:r>
    </w:p>
    <w:p>
      <w:r>
        <w:t>d) Tổ chức thực hiện: GV chiếu hình.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