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eastAsia="Microsoft YaHei"/>
          <w:b/>
          <w:sz w:val="40"/>
        </w:rPr>
        <w:t>项目14：避开危险路段的救援路径规划</w:t>
      </w:r>
    </w:p>
    <w:p>
      <w:pPr>
        <w:jc w:val="center"/>
      </w:pPr>
      <w:r>
        <w:rPr>
          <w:rFonts w:ascii="Calibri" w:hAnsi="Calibri" w:eastAsia="Microsoft YaHei"/>
          <w:color w:val="5A677A"/>
          <w:sz w:val="26"/>
        </w:rPr>
        <w:t>汇报文档</w:t>
      </w:r>
    </w:p>
    <w:p>
      <w:pPr>
        <w:jc w:val="center"/>
      </w:pPr>
      <w:r>
        <w:rPr>
          <w:rFonts w:ascii="Calibri" w:hAnsi="Calibri" w:eastAsia="Microsoft YaHei"/>
          <w:color w:val="6E7887"/>
          <w:sz w:val="18"/>
        </w:rPr>
        <w:t>生成时间：2026-06-23 17:57</w:t>
      </w:r>
    </w:p>
    <w:p>
      <w:pPr>
        <w:pStyle w:val="Heading1"/>
      </w:pPr>
      <w:r>
        <w:rPr>
          <w:rFonts w:ascii="Calibri" w:hAnsi="Calibri" w:eastAsia="Microsoft YaHei"/>
        </w:rPr>
        <w:t>一、路径规划场景</w:t>
      </w:r>
    </w:p>
    <w:p>
      <w:pPr>
        <w:spacing w:after="120"/>
      </w:pPr>
      <w:r>
        <w:rPr>
          <w:rFonts w:ascii="Calibri" w:hAnsi="Calibri" w:eastAsia="Microsoft YaHei"/>
        </w:rPr>
        <w:t>本项目面向灾害应急响应中的救援车辆路径规划问题。传统导航通常以距离最短或时间最短为目标，但在地震、洪水和火灾等灾害发生后，道路可能出现塌方、积水、拥堵、交通管制或道路中断。救援车辆更需要综合考虑道路安全性、通行能力和救援效率，因此本项目将真实道路网络、历史灾害影响区和交通状态融合，计算普通最短路径与安全救援路径。</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28"/>
            <w:vAlign w:val="center"/>
            <w:shd w:fill="E8EEF5"/>
          </w:tcPr>
          <w:p>
            <w:pPr>
              <w:spacing w:after="0"/>
              <w:jc w:val="center"/>
            </w:pPr>
            <w:r/>
            <w:r>
              <w:rPr>
                <w:rFonts w:ascii="Calibri" w:hAnsi="Calibri" w:eastAsia="Microsoft YaHei"/>
                <w:b/>
                <w:sz w:val="19"/>
              </w:rPr>
              <w:t>场景</w:t>
            </w:r>
          </w:p>
        </w:tc>
        <w:tc>
          <w:tcPr>
            <w:tcW w:type="dxa" w:w="1728"/>
            <w:vAlign w:val="center"/>
            <w:shd w:fill="E8EEF5"/>
          </w:tcPr>
          <w:p>
            <w:pPr>
              <w:spacing w:after="0"/>
              <w:jc w:val="center"/>
            </w:pPr>
            <w:r/>
            <w:r>
              <w:rPr>
                <w:rFonts w:ascii="Calibri" w:hAnsi="Calibri" w:eastAsia="Microsoft YaHei"/>
                <w:b/>
                <w:sz w:val="19"/>
              </w:rPr>
              <w:t>起点</w:t>
            </w:r>
          </w:p>
        </w:tc>
        <w:tc>
          <w:tcPr>
            <w:tcW w:type="dxa" w:w="1872"/>
            <w:vAlign w:val="center"/>
            <w:shd w:fill="E8EEF5"/>
          </w:tcPr>
          <w:p>
            <w:pPr>
              <w:spacing w:after="0"/>
              <w:jc w:val="center"/>
            </w:pPr>
            <w:r/>
            <w:r>
              <w:rPr>
                <w:rFonts w:ascii="Calibri" w:hAnsi="Calibri" w:eastAsia="Microsoft YaHei"/>
                <w:b/>
                <w:sz w:val="19"/>
              </w:rPr>
              <w:t>终点</w:t>
            </w:r>
          </w:p>
        </w:tc>
        <w:tc>
          <w:tcPr>
            <w:tcW w:type="dxa" w:w="2592"/>
            <w:vAlign w:val="center"/>
            <w:shd w:fill="E8EEF5"/>
          </w:tcPr>
          <w:p>
            <w:pPr>
              <w:spacing w:after="0"/>
              <w:jc w:val="center"/>
            </w:pPr>
            <w:r/>
            <w:r>
              <w:rPr>
                <w:rFonts w:ascii="Calibri" w:hAnsi="Calibri" w:eastAsia="Microsoft YaHei"/>
                <w:b/>
                <w:sz w:val="19"/>
              </w:rPr>
              <w:t>历史灾害</w:t>
            </w:r>
          </w:p>
        </w:tc>
        <w:tc>
          <w:tcPr>
            <w:tcW w:type="dxa" w:w="2880"/>
            <w:vAlign w:val="center"/>
            <w:shd w:fill="E8EEF5"/>
          </w:tcPr>
          <w:p>
            <w:pPr>
              <w:spacing w:after="0"/>
              <w:jc w:val="center"/>
            </w:pPr>
            <w:r/>
            <w:r>
              <w:rPr>
                <w:rFonts w:ascii="Calibri" w:hAnsi="Calibri" w:eastAsia="Microsoft YaHei"/>
                <w:b/>
                <w:sz w:val="19"/>
              </w:rPr>
              <w:t>重点风险</w:t>
            </w:r>
          </w:p>
        </w:tc>
      </w:tr>
      <w:tr>
        <w:tc>
          <w:tcPr>
            <w:tcW w:type="dxa" w:w="1728"/>
            <w:vAlign w:val="center"/>
          </w:tcPr>
          <w:p>
            <w:pPr>
              <w:spacing w:after="0"/>
              <w:jc w:val="center"/>
            </w:pPr>
            <w:r/>
            <w:r>
              <w:rPr>
                <w:rFonts w:ascii="Calibri" w:hAnsi="Calibri" w:eastAsia="Microsoft YaHei"/>
                <w:b w:val="0"/>
                <w:sz w:val="19"/>
              </w:rPr>
              <w:t>四川地震场景</w:t>
            </w:r>
          </w:p>
        </w:tc>
        <w:tc>
          <w:tcPr>
            <w:tcW w:type="dxa" w:w="1728"/>
            <w:vAlign w:val="center"/>
          </w:tcPr>
          <w:p>
            <w:pPr>
              <w:spacing w:after="0"/>
              <w:jc w:val="center"/>
            </w:pPr>
            <w:r/>
            <w:r>
              <w:rPr>
                <w:rFonts w:ascii="Calibri" w:hAnsi="Calibri" w:eastAsia="Microsoft YaHei"/>
                <w:b w:val="0"/>
                <w:sz w:val="19"/>
              </w:rPr>
              <w:t>成都市区</w:t>
            </w:r>
          </w:p>
        </w:tc>
        <w:tc>
          <w:tcPr>
            <w:tcW w:type="dxa" w:w="1872"/>
            <w:vAlign w:val="center"/>
          </w:tcPr>
          <w:p>
            <w:pPr>
              <w:spacing w:after="0"/>
              <w:jc w:val="center"/>
            </w:pPr>
            <w:r/>
            <w:r>
              <w:rPr>
                <w:rFonts w:ascii="Calibri" w:hAnsi="Calibri" w:eastAsia="Microsoft YaHei"/>
                <w:b w:val="0"/>
                <w:sz w:val="19"/>
              </w:rPr>
              <w:t>汶川县城</w:t>
            </w:r>
          </w:p>
        </w:tc>
        <w:tc>
          <w:tcPr>
            <w:tcW w:type="dxa" w:w="2592"/>
            <w:vAlign w:val="center"/>
          </w:tcPr>
          <w:p>
            <w:pPr>
              <w:spacing w:after="0"/>
              <w:jc w:val="left"/>
            </w:pPr>
            <w:r/>
            <w:r>
              <w:rPr>
                <w:rFonts w:ascii="Calibri" w:hAnsi="Calibri" w:eastAsia="Microsoft YaHei"/>
                <w:b w:val="0"/>
                <w:sz w:val="19"/>
              </w:rPr>
              <w:t>2008 年汶川地震影响区</w:t>
            </w:r>
          </w:p>
        </w:tc>
        <w:tc>
          <w:tcPr>
            <w:tcW w:type="dxa" w:w="2880"/>
            <w:vAlign w:val="center"/>
          </w:tcPr>
          <w:p>
            <w:pPr>
              <w:spacing w:after="0"/>
              <w:jc w:val="left"/>
            </w:pPr>
            <w:r/>
            <w:r>
              <w:rPr>
                <w:rFonts w:ascii="Calibri" w:hAnsi="Calibri" w:eastAsia="Microsoft YaHei"/>
                <w:b w:val="0"/>
                <w:sz w:val="19"/>
              </w:rPr>
              <w:t>山区塌方、滑坡和道路中断风险</w:t>
            </w:r>
          </w:p>
        </w:tc>
      </w:tr>
      <w:tr>
        <w:tc>
          <w:tcPr>
            <w:tcW w:type="dxa" w:w="1728"/>
            <w:vAlign w:val="center"/>
          </w:tcPr>
          <w:p>
            <w:pPr>
              <w:spacing w:after="0"/>
              <w:jc w:val="center"/>
            </w:pPr>
            <w:r/>
            <w:r>
              <w:rPr>
                <w:rFonts w:ascii="Calibri" w:hAnsi="Calibri" w:eastAsia="Microsoft YaHei"/>
                <w:b w:val="0"/>
                <w:sz w:val="19"/>
              </w:rPr>
              <w:t>北京洪水场景</w:t>
            </w:r>
          </w:p>
        </w:tc>
        <w:tc>
          <w:tcPr>
            <w:tcW w:type="dxa" w:w="1728"/>
            <w:vAlign w:val="center"/>
          </w:tcPr>
          <w:p>
            <w:pPr>
              <w:spacing w:after="0"/>
              <w:jc w:val="center"/>
            </w:pPr>
            <w:r/>
            <w:r>
              <w:rPr>
                <w:rFonts w:ascii="Calibri" w:hAnsi="Calibri" w:eastAsia="Microsoft YaHei"/>
                <w:b w:val="0"/>
                <w:sz w:val="19"/>
              </w:rPr>
              <w:t>清华大学</w:t>
            </w:r>
          </w:p>
        </w:tc>
        <w:tc>
          <w:tcPr>
            <w:tcW w:type="dxa" w:w="1872"/>
            <w:vAlign w:val="center"/>
          </w:tcPr>
          <w:p>
            <w:pPr>
              <w:spacing w:after="0"/>
              <w:jc w:val="center"/>
            </w:pPr>
            <w:r/>
            <w:r>
              <w:rPr>
                <w:rFonts w:ascii="Calibri" w:hAnsi="Calibri" w:eastAsia="Microsoft YaHei"/>
                <w:b w:val="0"/>
                <w:sz w:val="19"/>
              </w:rPr>
              <w:t>北京朝阳站</w:t>
            </w:r>
          </w:p>
        </w:tc>
        <w:tc>
          <w:tcPr>
            <w:tcW w:type="dxa" w:w="2592"/>
            <w:vAlign w:val="center"/>
          </w:tcPr>
          <w:p>
            <w:pPr>
              <w:spacing w:after="0"/>
              <w:jc w:val="left"/>
            </w:pPr>
            <w:r/>
            <w:r>
              <w:rPr>
                <w:rFonts w:ascii="Calibri" w:hAnsi="Calibri" w:eastAsia="Microsoft YaHei"/>
                <w:b w:val="0"/>
                <w:sz w:val="19"/>
              </w:rPr>
              <w:t>2012 年北京 7.21 暴雨洪涝影响区</w:t>
            </w:r>
          </w:p>
        </w:tc>
        <w:tc>
          <w:tcPr>
            <w:tcW w:type="dxa" w:w="2880"/>
            <w:vAlign w:val="center"/>
          </w:tcPr>
          <w:p>
            <w:pPr>
              <w:spacing w:after="0"/>
              <w:jc w:val="left"/>
            </w:pPr>
            <w:r/>
            <w:r>
              <w:rPr>
                <w:rFonts w:ascii="Calibri" w:hAnsi="Calibri" w:eastAsia="Microsoft YaHei"/>
                <w:b w:val="0"/>
                <w:sz w:val="19"/>
              </w:rPr>
              <w:t>积水、通行能力下降和城市拥堵</w:t>
            </w:r>
          </w:p>
        </w:tc>
      </w:tr>
      <w:tr>
        <w:tc>
          <w:tcPr>
            <w:tcW w:type="dxa" w:w="1728"/>
            <w:vAlign w:val="center"/>
          </w:tcPr>
          <w:p>
            <w:pPr>
              <w:spacing w:after="0"/>
              <w:jc w:val="center"/>
            </w:pPr>
            <w:r/>
            <w:r>
              <w:rPr>
                <w:rFonts w:ascii="Calibri" w:hAnsi="Calibri" w:eastAsia="Microsoft YaHei"/>
                <w:b w:val="0"/>
                <w:sz w:val="19"/>
              </w:rPr>
              <w:t>上海火灾场景</w:t>
            </w:r>
          </w:p>
        </w:tc>
        <w:tc>
          <w:tcPr>
            <w:tcW w:type="dxa" w:w="1728"/>
            <w:vAlign w:val="center"/>
          </w:tcPr>
          <w:p>
            <w:pPr>
              <w:spacing w:after="0"/>
              <w:jc w:val="center"/>
            </w:pPr>
            <w:r/>
            <w:r>
              <w:rPr>
                <w:rFonts w:ascii="Calibri" w:hAnsi="Calibri" w:eastAsia="Microsoft YaHei"/>
                <w:b w:val="0"/>
                <w:sz w:val="19"/>
              </w:rPr>
              <w:t>武宁消防站</w:t>
            </w:r>
          </w:p>
        </w:tc>
        <w:tc>
          <w:tcPr>
            <w:tcW w:type="dxa" w:w="1872"/>
            <w:vAlign w:val="center"/>
          </w:tcPr>
          <w:p>
            <w:pPr>
              <w:spacing w:after="0"/>
              <w:jc w:val="center"/>
            </w:pPr>
            <w:r/>
            <w:r>
              <w:rPr>
                <w:rFonts w:ascii="Calibri" w:hAnsi="Calibri" w:eastAsia="Microsoft YaHei"/>
                <w:b w:val="0"/>
                <w:sz w:val="19"/>
              </w:rPr>
              <w:t>胶州路 728 号火灾点</w:t>
            </w:r>
          </w:p>
        </w:tc>
        <w:tc>
          <w:tcPr>
            <w:tcW w:type="dxa" w:w="2592"/>
            <w:vAlign w:val="center"/>
          </w:tcPr>
          <w:p>
            <w:pPr>
              <w:spacing w:after="0"/>
              <w:jc w:val="left"/>
            </w:pPr>
            <w:r/>
            <w:r>
              <w:rPr>
                <w:rFonts w:ascii="Calibri" w:hAnsi="Calibri" w:eastAsia="Microsoft YaHei"/>
                <w:b w:val="0"/>
                <w:sz w:val="19"/>
              </w:rPr>
              <w:t>2010 年上海胶州路 11.15 火灾</w:t>
            </w:r>
          </w:p>
        </w:tc>
        <w:tc>
          <w:tcPr>
            <w:tcW w:type="dxa" w:w="2880"/>
            <w:vAlign w:val="center"/>
          </w:tcPr>
          <w:p>
            <w:pPr>
              <w:spacing w:after="0"/>
              <w:jc w:val="left"/>
            </w:pPr>
            <w:r/>
            <w:r>
              <w:rPr>
                <w:rFonts w:ascii="Calibri" w:hAnsi="Calibri" w:eastAsia="Microsoft YaHei"/>
                <w:b w:val="0"/>
                <w:sz w:val="19"/>
              </w:rPr>
              <w:t>火场影响区、交通管制和实时拥堵</w:t>
            </w:r>
          </w:p>
        </w:tc>
      </w:tr>
    </w:tbl>
    <w:p/>
    <w:p>
      <w:pPr>
        <w:pStyle w:val="Heading1"/>
      </w:pPr>
      <w:r>
        <w:rPr>
          <w:rFonts w:ascii="Calibri" w:hAnsi="Calibri" w:eastAsia="Microsoft YaHei"/>
        </w:rPr>
        <w:t>二、图模型构建</w:t>
      </w:r>
    </w:p>
    <w:p>
      <w:pPr>
        <w:spacing w:after="120"/>
      </w:pPr>
      <w:r>
        <w:rPr>
          <w:rFonts w:ascii="Calibri" w:hAnsi="Calibri" w:eastAsia="Microsoft YaHei"/>
        </w:rPr>
        <w:t>道路系统被抽象为无向加权图 G=(V,E)。其中 V 表示道路交叉点、道路折点、救援出发点和受灾目标点；E 表示相邻节点之间的道路路段。每条边保存道路长度、道路名称、危险类型、拥堵程度、是否可通行和综合安全权重。</w:t>
      </w:r>
    </w:p>
    <w:p>
      <w:pPr>
        <w:spacing w:after="120"/>
      </w:pPr>
      <w:r>
        <w:rPr>
          <w:rFonts w:ascii="Calibri" w:hAnsi="Calibri" w:eastAsia="Microsoft YaHei"/>
        </w:rPr>
        <w:t>数据构建流程：</w:t>
      </w:r>
    </w:p>
    <w:p>
      <w:pPr>
        <w:pStyle w:val="ListBullet"/>
        <w:spacing w:after="60"/>
      </w:pPr>
      <w:r>
        <w:rPr>
          <w:rFonts w:ascii="Calibri" w:hAnsi="Calibri" w:eastAsia="Microsoft YaHei"/>
        </w:rPr>
        <w:t>从 OpenStreetMap / Overpass API 抽取指定区域真实道路网络，得到道路节点、道路边和道路几何轨迹。</w:t>
      </w:r>
    </w:p>
    <w:p>
      <w:pPr>
        <w:pStyle w:val="ListBullet"/>
        <w:spacing w:after="60"/>
      </w:pPr>
      <w:r>
        <w:rPr>
          <w:rFonts w:ascii="Calibri" w:hAnsi="Calibri" w:eastAsia="Microsoft YaHei"/>
        </w:rPr>
        <w:t>将历史灾害事件表示为灾害点和影响半径，形成灾害影响缓冲区。</w:t>
      </w:r>
    </w:p>
    <w:p>
      <w:pPr>
        <w:pStyle w:val="ListBullet"/>
        <w:spacing w:after="60"/>
      </w:pPr>
      <w:r>
        <w:rPr>
          <w:rFonts w:ascii="Calibri" w:hAnsi="Calibri" w:eastAsia="Microsoft YaHei"/>
        </w:rPr>
        <w:t>对道路边和灾害影响区进行空间叠加，若道路进入影响区，则标记为塌方、积水或火灾风险。</w:t>
      </w:r>
    </w:p>
    <w:p>
      <w:pPr>
        <w:pStyle w:val="ListBullet"/>
        <w:spacing w:after="60"/>
      </w:pPr>
      <w:r>
        <w:rPr>
          <w:rFonts w:ascii="Calibri" w:hAnsi="Calibri" w:eastAsia="Microsoft YaHei"/>
        </w:rPr>
        <w:t>对可获得实时路况的区域调用高德交通态势 API，并按道路名称匹配到 OSM 道路边，生成拥堵映射。</w:t>
      </w:r>
    </w:p>
    <w:p>
      <w:pPr>
        <w:pStyle w:val="ListBullet"/>
        <w:spacing w:after="60"/>
      </w:pPr>
      <w:r>
        <w:rPr>
          <w:rFonts w:ascii="Calibri" w:hAnsi="Calibri" w:eastAsia="Microsoft YaHei"/>
        </w:rPr>
        <w:t>将道路节点、道路边、灾害映射、交通映射和路径结果分别保存为 CSV / JSON 数据表。</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vAlign w:val="center"/>
            <w:shd w:fill="E8EEF5"/>
          </w:tcPr>
          <w:p>
            <w:pPr>
              <w:spacing w:after="0"/>
              <w:jc w:val="center"/>
            </w:pPr>
            <w:r/>
            <w:r>
              <w:rPr>
                <w:rFonts w:ascii="Calibri" w:hAnsi="Calibri" w:eastAsia="Microsoft YaHei"/>
                <w:b/>
                <w:sz w:val="19"/>
              </w:rPr>
              <w:t>场景</w:t>
            </w:r>
          </w:p>
        </w:tc>
        <w:tc>
          <w:tcPr>
            <w:tcW w:type="dxa" w:w="1440"/>
            <w:vAlign w:val="center"/>
            <w:shd w:fill="E8EEF5"/>
          </w:tcPr>
          <w:p>
            <w:pPr>
              <w:spacing w:after="0"/>
              <w:jc w:val="center"/>
            </w:pPr>
            <w:r/>
            <w:r>
              <w:rPr>
                <w:rFonts w:ascii="Calibri" w:hAnsi="Calibri" w:eastAsia="Microsoft YaHei"/>
                <w:b/>
                <w:sz w:val="19"/>
              </w:rPr>
              <w:t>节点数</w:t>
            </w:r>
          </w:p>
        </w:tc>
        <w:tc>
          <w:tcPr>
            <w:tcW w:type="dxa" w:w="1728"/>
            <w:vAlign w:val="center"/>
            <w:shd w:fill="E8EEF5"/>
          </w:tcPr>
          <w:p>
            <w:pPr>
              <w:spacing w:after="0"/>
              <w:jc w:val="center"/>
            </w:pPr>
            <w:r/>
            <w:r>
              <w:rPr>
                <w:rFonts w:ascii="Calibri" w:hAnsi="Calibri" w:eastAsia="Microsoft YaHei"/>
                <w:b/>
                <w:sz w:val="19"/>
              </w:rPr>
              <w:t>道路边数</w:t>
            </w:r>
          </w:p>
        </w:tc>
        <w:tc>
          <w:tcPr>
            <w:tcW w:type="dxa" w:w="2160"/>
            <w:vAlign w:val="center"/>
            <w:shd w:fill="E8EEF5"/>
          </w:tcPr>
          <w:p>
            <w:pPr>
              <w:spacing w:after="0"/>
              <w:jc w:val="center"/>
            </w:pPr>
            <w:r/>
            <w:r>
              <w:rPr>
                <w:rFonts w:ascii="Calibri" w:hAnsi="Calibri" w:eastAsia="Microsoft YaHei"/>
                <w:b/>
                <w:sz w:val="19"/>
              </w:rPr>
              <w:t>灾害映射边数</w:t>
            </w:r>
          </w:p>
        </w:tc>
        <w:tc>
          <w:tcPr>
            <w:tcW w:type="dxa" w:w="2160"/>
            <w:vAlign w:val="center"/>
            <w:shd w:fill="E8EEF5"/>
          </w:tcPr>
          <w:p>
            <w:pPr>
              <w:spacing w:after="0"/>
              <w:jc w:val="center"/>
            </w:pPr>
            <w:r/>
            <w:r>
              <w:rPr>
                <w:rFonts w:ascii="Calibri" w:hAnsi="Calibri" w:eastAsia="Microsoft YaHei"/>
                <w:b/>
                <w:sz w:val="19"/>
              </w:rPr>
              <w:t>交通映射边数</w:t>
            </w:r>
          </w:p>
        </w:tc>
      </w:tr>
      <w:tr>
        <w:tc>
          <w:tcPr>
            <w:tcW w:type="dxa" w:w="2160"/>
            <w:vAlign w:val="center"/>
          </w:tcPr>
          <w:p>
            <w:pPr>
              <w:spacing w:after="0"/>
              <w:jc w:val="center"/>
            </w:pPr>
            <w:r/>
            <w:r>
              <w:rPr>
                <w:rFonts w:ascii="Calibri" w:hAnsi="Calibri" w:eastAsia="Microsoft YaHei"/>
                <w:b w:val="0"/>
                <w:sz w:val="19"/>
              </w:rPr>
              <w:t>四川地震场景</w:t>
            </w:r>
          </w:p>
        </w:tc>
        <w:tc>
          <w:tcPr>
            <w:tcW w:type="dxa" w:w="1440"/>
            <w:vAlign w:val="center"/>
          </w:tcPr>
          <w:p>
            <w:pPr>
              <w:spacing w:after="0"/>
              <w:jc w:val="center"/>
            </w:pPr>
            <w:r/>
            <w:r>
              <w:rPr>
                <w:rFonts w:ascii="Calibri" w:hAnsi="Calibri" w:eastAsia="Microsoft YaHei"/>
                <w:b w:val="0"/>
                <w:sz w:val="19"/>
              </w:rPr>
              <w:t>568070</w:t>
            </w:r>
          </w:p>
        </w:tc>
        <w:tc>
          <w:tcPr>
            <w:tcW w:type="dxa" w:w="1728"/>
            <w:vAlign w:val="center"/>
          </w:tcPr>
          <w:p>
            <w:pPr>
              <w:spacing w:after="0"/>
              <w:jc w:val="center"/>
            </w:pPr>
            <w:r/>
            <w:r>
              <w:rPr>
                <w:rFonts w:ascii="Calibri" w:hAnsi="Calibri" w:eastAsia="Microsoft YaHei"/>
                <w:b w:val="0"/>
                <w:sz w:val="19"/>
              </w:rPr>
              <w:t>596062</w:t>
            </w:r>
          </w:p>
        </w:tc>
        <w:tc>
          <w:tcPr>
            <w:tcW w:type="dxa" w:w="2160"/>
            <w:vAlign w:val="center"/>
          </w:tcPr>
          <w:p>
            <w:pPr>
              <w:spacing w:after="0"/>
              <w:jc w:val="center"/>
            </w:pPr>
            <w:r/>
            <w:r>
              <w:rPr>
                <w:rFonts w:ascii="Calibri" w:hAnsi="Calibri" w:eastAsia="Microsoft YaHei"/>
                <w:b w:val="0"/>
                <w:sz w:val="19"/>
              </w:rPr>
              <w:t>25741</w:t>
            </w:r>
          </w:p>
        </w:tc>
        <w:tc>
          <w:tcPr>
            <w:tcW w:type="dxa" w:w="2160"/>
            <w:vAlign w:val="center"/>
          </w:tcPr>
          <w:p>
            <w:pPr>
              <w:spacing w:after="0"/>
              <w:jc w:val="center"/>
            </w:pPr>
            <w:r/>
            <w:r>
              <w:rPr>
                <w:rFonts w:ascii="Calibri" w:hAnsi="Calibri" w:eastAsia="Microsoft YaHei"/>
                <w:b w:val="0"/>
                <w:sz w:val="19"/>
              </w:rPr>
              <w:t>638</w:t>
            </w:r>
          </w:p>
        </w:tc>
      </w:tr>
      <w:tr>
        <w:tc>
          <w:tcPr>
            <w:tcW w:type="dxa" w:w="2160"/>
            <w:vAlign w:val="center"/>
          </w:tcPr>
          <w:p>
            <w:pPr>
              <w:spacing w:after="0"/>
              <w:jc w:val="center"/>
            </w:pPr>
            <w:r/>
            <w:r>
              <w:rPr>
                <w:rFonts w:ascii="Calibri" w:hAnsi="Calibri" w:eastAsia="Microsoft YaHei"/>
                <w:b w:val="0"/>
                <w:sz w:val="19"/>
              </w:rPr>
              <w:t>北京洪水场景</w:t>
            </w:r>
          </w:p>
        </w:tc>
        <w:tc>
          <w:tcPr>
            <w:tcW w:type="dxa" w:w="1440"/>
            <w:vAlign w:val="center"/>
          </w:tcPr>
          <w:p>
            <w:pPr>
              <w:spacing w:after="0"/>
              <w:jc w:val="center"/>
            </w:pPr>
            <w:r/>
            <w:r>
              <w:rPr>
                <w:rFonts w:ascii="Calibri" w:hAnsi="Calibri" w:eastAsia="Microsoft YaHei"/>
                <w:b w:val="0"/>
                <w:sz w:val="19"/>
              </w:rPr>
              <w:t>49603</w:t>
            </w:r>
          </w:p>
        </w:tc>
        <w:tc>
          <w:tcPr>
            <w:tcW w:type="dxa" w:w="1728"/>
            <w:vAlign w:val="center"/>
          </w:tcPr>
          <w:p>
            <w:pPr>
              <w:spacing w:after="0"/>
              <w:jc w:val="center"/>
            </w:pPr>
            <w:r/>
            <w:r>
              <w:rPr>
                <w:rFonts w:ascii="Calibri" w:hAnsi="Calibri" w:eastAsia="Microsoft YaHei"/>
                <w:b w:val="0"/>
                <w:sz w:val="19"/>
              </w:rPr>
              <w:t>55430</w:t>
            </w:r>
          </w:p>
        </w:tc>
        <w:tc>
          <w:tcPr>
            <w:tcW w:type="dxa" w:w="2160"/>
            <w:vAlign w:val="center"/>
          </w:tcPr>
          <w:p>
            <w:pPr>
              <w:spacing w:after="0"/>
              <w:jc w:val="center"/>
            </w:pPr>
            <w:r/>
            <w:r>
              <w:rPr>
                <w:rFonts w:ascii="Calibri" w:hAnsi="Calibri" w:eastAsia="Microsoft YaHei"/>
                <w:b w:val="0"/>
                <w:sz w:val="19"/>
              </w:rPr>
              <w:t>8125</w:t>
            </w:r>
          </w:p>
        </w:tc>
        <w:tc>
          <w:tcPr>
            <w:tcW w:type="dxa" w:w="2160"/>
            <w:vAlign w:val="center"/>
          </w:tcPr>
          <w:p>
            <w:pPr>
              <w:spacing w:after="0"/>
              <w:jc w:val="center"/>
            </w:pPr>
            <w:r/>
            <w:r>
              <w:rPr>
                <w:rFonts w:ascii="Calibri" w:hAnsi="Calibri" w:eastAsia="Microsoft YaHei"/>
                <w:b w:val="0"/>
                <w:sz w:val="19"/>
              </w:rPr>
              <w:t>2434</w:t>
            </w:r>
          </w:p>
        </w:tc>
      </w:tr>
      <w:tr>
        <w:tc>
          <w:tcPr>
            <w:tcW w:type="dxa" w:w="2160"/>
            <w:vAlign w:val="center"/>
          </w:tcPr>
          <w:p>
            <w:pPr>
              <w:spacing w:after="0"/>
              <w:jc w:val="center"/>
            </w:pPr>
            <w:r/>
            <w:r>
              <w:rPr>
                <w:rFonts w:ascii="Calibri" w:hAnsi="Calibri" w:eastAsia="Microsoft YaHei"/>
                <w:b w:val="0"/>
                <w:sz w:val="19"/>
              </w:rPr>
              <w:t>上海火灾场景</w:t>
            </w:r>
          </w:p>
        </w:tc>
        <w:tc>
          <w:tcPr>
            <w:tcW w:type="dxa" w:w="1440"/>
            <w:vAlign w:val="center"/>
          </w:tcPr>
          <w:p>
            <w:pPr>
              <w:spacing w:after="0"/>
              <w:jc w:val="center"/>
            </w:pPr>
            <w:r/>
            <w:r>
              <w:rPr>
                <w:rFonts w:ascii="Calibri" w:hAnsi="Calibri" w:eastAsia="Microsoft YaHei"/>
                <w:b w:val="0"/>
                <w:sz w:val="19"/>
              </w:rPr>
              <w:t>17644</w:t>
            </w:r>
          </w:p>
        </w:tc>
        <w:tc>
          <w:tcPr>
            <w:tcW w:type="dxa" w:w="1728"/>
            <w:vAlign w:val="center"/>
          </w:tcPr>
          <w:p>
            <w:pPr>
              <w:spacing w:after="0"/>
              <w:jc w:val="center"/>
            </w:pPr>
            <w:r/>
            <w:r>
              <w:rPr>
                <w:rFonts w:ascii="Calibri" w:hAnsi="Calibri" w:eastAsia="Microsoft YaHei"/>
                <w:b w:val="0"/>
                <w:sz w:val="19"/>
              </w:rPr>
              <w:t>19502</w:t>
            </w:r>
          </w:p>
        </w:tc>
        <w:tc>
          <w:tcPr>
            <w:tcW w:type="dxa" w:w="2160"/>
            <w:vAlign w:val="center"/>
          </w:tcPr>
          <w:p>
            <w:pPr>
              <w:spacing w:after="0"/>
              <w:jc w:val="center"/>
            </w:pPr>
            <w:r/>
            <w:r>
              <w:rPr>
                <w:rFonts w:ascii="Calibri" w:hAnsi="Calibri" w:eastAsia="Microsoft YaHei"/>
                <w:b w:val="0"/>
                <w:sz w:val="19"/>
              </w:rPr>
              <w:t>301</w:t>
            </w:r>
          </w:p>
        </w:tc>
        <w:tc>
          <w:tcPr>
            <w:tcW w:type="dxa" w:w="2160"/>
            <w:vAlign w:val="center"/>
          </w:tcPr>
          <w:p>
            <w:pPr>
              <w:spacing w:after="0"/>
              <w:jc w:val="center"/>
            </w:pPr>
            <w:r/>
            <w:r>
              <w:rPr>
                <w:rFonts w:ascii="Calibri" w:hAnsi="Calibri" w:eastAsia="Microsoft YaHei"/>
                <w:b w:val="0"/>
                <w:sz w:val="19"/>
              </w:rPr>
              <w:t>6272</w:t>
            </w:r>
          </w:p>
        </w:tc>
      </w:tr>
    </w:tbl>
    <w:p/>
    <w:p>
      <w:pPr>
        <w:pStyle w:val="Heading1"/>
      </w:pPr>
      <w:r>
        <w:rPr>
          <w:rFonts w:ascii="Calibri" w:hAnsi="Calibri" w:eastAsia="Microsoft YaHei"/>
        </w:rPr>
        <w:t>三、权重设计</w:t>
      </w:r>
    </w:p>
    <w:p>
      <w:pPr>
        <w:spacing w:after="120"/>
      </w:pPr>
      <w:r>
        <w:rPr>
          <w:rFonts w:ascii="Calibri" w:hAnsi="Calibri" w:eastAsia="Microsoft YaHei"/>
        </w:rPr>
        <w:t>普通最短路径只使用道路距离作为边权重，目标是寻找距离最短的路线。安全路径使用综合安全权重，目标是寻找综合通行代价最低的路线。权重公式如下：</w:t>
      </w:r>
    </w:p>
    <w:p>
      <w:pPr>
        <w:spacing w:after="120"/>
      </w:pPr>
      <w:r>
        <w:rPr>
          <w:rFonts w:ascii="Calibri" w:hAnsi="Calibri" w:eastAsia="Microsoft YaHei"/>
        </w:rPr>
        <w:t>safe_weight = distance × risk_factor × (1 + congestion_weight × congestion) + fixed_cost</w:t>
      </w:r>
    </w:p>
    <w:p>
      <w:pPr>
        <w:spacing w:after="120"/>
      </w:pPr>
      <w:r>
        <w:rPr>
          <w:rFonts w:ascii="Calibri" w:hAnsi="Calibri" w:eastAsia="Microsoft YaHei"/>
        </w:rPr>
        <w:t>其中 distance 为道路长度，risk_factor 为灾害风险系数，congestion 为拥堵程度，congestion_weight 为拥堵影响权重，fixed_cost 表示火场管制、严重拥堵等额外通行代价。风险系数采用半定量风险等级法，不把某个系数说成固定物理常数，而是按照风险严重程度把道路通行风险转化为算法可计算的惩罚值。</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vAlign w:val="center"/>
            <w:shd w:fill="E8EEF5"/>
          </w:tcPr>
          <w:p>
            <w:pPr>
              <w:spacing w:after="0"/>
              <w:jc w:val="center"/>
            </w:pPr>
            <w:r/>
            <w:r>
              <w:rPr>
                <w:rFonts w:ascii="Calibri" w:hAnsi="Calibri" w:eastAsia="Microsoft YaHei"/>
                <w:b/>
                <w:sz w:val="19"/>
              </w:rPr>
              <w:t>道路状态</w:t>
            </w:r>
          </w:p>
        </w:tc>
        <w:tc>
          <w:tcPr>
            <w:tcW w:type="dxa" w:w="1296"/>
            <w:vAlign w:val="center"/>
            <w:shd w:fill="E8EEF5"/>
          </w:tcPr>
          <w:p>
            <w:pPr>
              <w:spacing w:after="0"/>
              <w:jc w:val="center"/>
            </w:pPr>
            <w:r/>
            <w:r>
              <w:rPr>
                <w:rFonts w:ascii="Calibri" w:hAnsi="Calibri" w:eastAsia="Microsoft YaHei"/>
                <w:b/>
                <w:sz w:val="19"/>
              </w:rPr>
              <w:t>风险等级</w:t>
            </w:r>
          </w:p>
        </w:tc>
        <w:tc>
          <w:tcPr>
            <w:tcW w:type="dxa" w:w="2160"/>
            <w:vAlign w:val="center"/>
            <w:shd w:fill="E8EEF5"/>
          </w:tcPr>
          <w:p>
            <w:pPr>
              <w:spacing w:after="0"/>
              <w:jc w:val="center"/>
            </w:pPr>
            <w:r/>
            <w:r>
              <w:rPr>
                <w:rFonts w:ascii="Calibri" w:hAnsi="Calibri" w:eastAsia="Microsoft YaHei"/>
                <w:b/>
                <w:sz w:val="19"/>
              </w:rPr>
              <w:t>项目处理方式</w:t>
            </w:r>
          </w:p>
        </w:tc>
        <w:tc>
          <w:tcPr>
            <w:tcW w:type="dxa" w:w="4320"/>
            <w:vAlign w:val="center"/>
            <w:shd w:fill="E8EEF5"/>
          </w:tcPr>
          <w:p>
            <w:pPr>
              <w:spacing w:after="0"/>
              <w:jc w:val="center"/>
            </w:pPr>
            <w:r/>
            <w:r>
              <w:rPr>
                <w:rFonts w:ascii="Calibri" w:hAnsi="Calibri" w:eastAsia="Microsoft YaHei"/>
                <w:b/>
                <w:sz w:val="19"/>
              </w:rPr>
              <w:t>解释</w:t>
            </w:r>
          </w:p>
        </w:tc>
      </w:tr>
      <w:tr>
        <w:tc>
          <w:tcPr>
            <w:tcW w:type="dxa" w:w="1584"/>
            <w:vAlign w:val="center"/>
          </w:tcPr>
          <w:p>
            <w:pPr>
              <w:spacing w:after="0"/>
              <w:jc w:val="center"/>
            </w:pPr>
            <w:r/>
            <w:r>
              <w:rPr>
                <w:rFonts w:ascii="Calibri" w:hAnsi="Calibri" w:eastAsia="Microsoft YaHei"/>
                <w:b w:val="0"/>
                <w:sz w:val="19"/>
              </w:rPr>
              <w:t>正常道路</w:t>
            </w:r>
          </w:p>
        </w:tc>
        <w:tc>
          <w:tcPr>
            <w:tcW w:type="dxa" w:w="1296"/>
            <w:vAlign w:val="center"/>
          </w:tcPr>
          <w:p>
            <w:pPr>
              <w:spacing w:after="0"/>
              <w:jc w:val="center"/>
            </w:pPr>
            <w:r/>
            <w:r>
              <w:rPr>
                <w:rFonts w:ascii="Calibri" w:hAnsi="Calibri" w:eastAsia="Microsoft YaHei"/>
                <w:b w:val="0"/>
                <w:sz w:val="19"/>
              </w:rPr>
              <w:t>低</w:t>
            </w:r>
          </w:p>
        </w:tc>
        <w:tc>
          <w:tcPr>
            <w:tcW w:type="dxa" w:w="2160"/>
            <w:vAlign w:val="center"/>
          </w:tcPr>
          <w:p>
            <w:pPr>
              <w:spacing w:after="0"/>
              <w:jc w:val="left"/>
            </w:pPr>
            <w:r/>
            <w:r>
              <w:rPr>
                <w:rFonts w:ascii="Calibri" w:hAnsi="Calibri" w:eastAsia="Microsoft YaHei"/>
                <w:b w:val="0"/>
                <w:sz w:val="19"/>
              </w:rPr>
              <w:t>risk_factor = 1.0</w:t>
            </w:r>
          </w:p>
        </w:tc>
        <w:tc>
          <w:tcPr>
            <w:tcW w:type="dxa" w:w="4320"/>
            <w:vAlign w:val="center"/>
          </w:tcPr>
          <w:p>
            <w:pPr>
              <w:spacing w:after="0"/>
              <w:jc w:val="left"/>
            </w:pPr>
            <w:r/>
            <w:r>
              <w:rPr>
                <w:rFonts w:ascii="Calibri" w:hAnsi="Calibri" w:eastAsia="Microsoft YaHei"/>
                <w:b w:val="0"/>
                <w:sz w:val="19"/>
              </w:rPr>
              <w:t>作为基准状态，只按距离计算。</w:t>
            </w:r>
          </w:p>
        </w:tc>
      </w:tr>
      <w:tr>
        <w:tc>
          <w:tcPr>
            <w:tcW w:type="dxa" w:w="1584"/>
            <w:vAlign w:val="center"/>
          </w:tcPr>
          <w:p>
            <w:pPr>
              <w:spacing w:after="0"/>
              <w:jc w:val="center"/>
            </w:pPr>
            <w:r/>
            <w:r>
              <w:rPr>
                <w:rFonts w:ascii="Calibri" w:hAnsi="Calibri" w:eastAsia="Microsoft YaHei"/>
                <w:b w:val="0"/>
                <w:sz w:val="19"/>
              </w:rPr>
              <w:t>拥堵道路</w:t>
            </w:r>
          </w:p>
        </w:tc>
        <w:tc>
          <w:tcPr>
            <w:tcW w:type="dxa" w:w="1296"/>
            <w:vAlign w:val="center"/>
          </w:tcPr>
          <w:p>
            <w:pPr>
              <w:spacing w:after="0"/>
              <w:jc w:val="center"/>
            </w:pPr>
            <w:r/>
            <w:r>
              <w:rPr>
                <w:rFonts w:ascii="Calibri" w:hAnsi="Calibri" w:eastAsia="Microsoft YaHei"/>
                <w:b w:val="0"/>
                <w:sz w:val="19"/>
              </w:rPr>
              <w:t>中</w:t>
            </w:r>
          </w:p>
        </w:tc>
        <w:tc>
          <w:tcPr>
            <w:tcW w:type="dxa" w:w="2160"/>
            <w:vAlign w:val="center"/>
          </w:tcPr>
          <w:p>
            <w:pPr>
              <w:spacing w:after="0"/>
              <w:jc w:val="center"/>
            </w:pPr>
            <w:r/>
            <w:r>
              <w:rPr>
                <w:rFonts w:ascii="Calibri" w:hAnsi="Calibri" w:eastAsia="Microsoft YaHei"/>
                <w:b w:val="0"/>
                <w:sz w:val="19"/>
              </w:rPr>
              <w:t>提高拥堵修正项</w:t>
            </w:r>
          </w:p>
        </w:tc>
        <w:tc>
          <w:tcPr>
            <w:tcW w:type="dxa" w:w="4320"/>
            <w:vAlign w:val="center"/>
          </w:tcPr>
          <w:p>
            <w:pPr>
              <w:spacing w:after="0"/>
              <w:jc w:val="left"/>
            </w:pPr>
            <w:r/>
            <w:r>
              <w:rPr>
                <w:rFonts w:ascii="Calibri" w:hAnsi="Calibri" w:eastAsia="Microsoft YaHei"/>
                <w:b w:val="0"/>
                <w:sz w:val="19"/>
              </w:rPr>
              <w:t>来自高德交通态势，表示通行效率下降。</w:t>
            </w:r>
          </w:p>
        </w:tc>
      </w:tr>
      <w:tr>
        <w:tc>
          <w:tcPr>
            <w:tcW w:type="dxa" w:w="1584"/>
            <w:vAlign w:val="center"/>
          </w:tcPr>
          <w:p>
            <w:pPr>
              <w:spacing w:after="0"/>
              <w:jc w:val="center"/>
            </w:pPr>
            <w:r/>
            <w:r>
              <w:rPr>
                <w:rFonts w:ascii="Calibri" w:hAnsi="Calibri" w:eastAsia="Microsoft YaHei"/>
                <w:b w:val="0"/>
                <w:sz w:val="19"/>
              </w:rPr>
              <w:t>积水道路</w:t>
            </w:r>
          </w:p>
        </w:tc>
        <w:tc>
          <w:tcPr>
            <w:tcW w:type="dxa" w:w="1296"/>
            <w:vAlign w:val="center"/>
          </w:tcPr>
          <w:p>
            <w:pPr>
              <w:spacing w:after="0"/>
              <w:jc w:val="center"/>
            </w:pPr>
            <w:r/>
            <w:r>
              <w:rPr>
                <w:rFonts w:ascii="Calibri" w:hAnsi="Calibri" w:eastAsia="Microsoft YaHei"/>
                <w:b w:val="0"/>
                <w:sz w:val="19"/>
              </w:rPr>
              <w:t>较高</w:t>
            </w:r>
          </w:p>
        </w:tc>
        <w:tc>
          <w:tcPr>
            <w:tcW w:type="dxa" w:w="2160"/>
            <w:vAlign w:val="center"/>
          </w:tcPr>
          <w:p>
            <w:pPr>
              <w:spacing w:after="0"/>
              <w:jc w:val="center"/>
            </w:pPr>
            <w:r/>
            <w:r>
              <w:rPr>
                <w:rFonts w:ascii="Calibri" w:hAnsi="Calibri" w:eastAsia="Microsoft YaHei"/>
                <w:b w:val="0"/>
                <w:sz w:val="19"/>
              </w:rPr>
              <w:t>提高 flood 权重</w:t>
            </w:r>
          </w:p>
        </w:tc>
        <w:tc>
          <w:tcPr>
            <w:tcW w:type="dxa" w:w="4320"/>
            <w:vAlign w:val="center"/>
          </w:tcPr>
          <w:p>
            <w:pPr>
              <w:spacing w:after="0"/>
              <w:jc w:val="left"/>
            </w:pPr>
            <w:r/>
            <w:r>
              <w:rPr>
                <w:rFonts w:ascii="Calibri" w:hAnsi="Calibri" w:eastAsia="Microsoft YaHei"/>
                <w:b w:val="0"/>
                <w:sz w:val="19"/>
              </w:rPr>
              <w:t>洪涝会导致涉水风险和通行能力下降。</w:t>
            </w:r>
          </w:p>
        </w:tc>
      </w:tr>
      <w:tr>
        <w:tc>
          <w:tcPr>
            <w:tcW w:type="dxa" w:w="1584"/>
            <w:vAlign w:val="center"/>
          </w:tcPr>
          <w:p>
            <w:pPr>
              <w:spacing w:after="0"/>
              <w:jc w:val="center"/>
            </w:pPr>
            <w:r/>
            <w:r>
              <w:rPr>
                <w:rFonts w:ascii="Calibri" w:hAnsi="Calibri" w:eastAsia="Microsoft YaHei"/>
                <w:b w:val="0"/>
                <w:sz w:val="19"/>
              </w:rPr>
              <w:t>塌方风险</w:t>
            </w:r>
          </w:p>
        </w:tc>
        <w:tc>
          <w:tcPr>
            <w:tcW w:type="dxa" w:w="1296"/>
            <w:vAlign w:val="center"/>
          </w:tcPr>
          <w:p>
            <w:pPr>
              <w:spacing w:after="0"/>
              <w:jc w:val="center"/>
            </w:pPr>
            <w:r/>
            <w:r>
              <w:rPr>
                <w:rFonts w:ascii="Calibri" w:hAnsi="Calibri" w:eastAsia="Microsoft YaHei"/>
                <w:b w:val="0"/>
                <w:sz w:val="19"/>
              </w:rPr>
              <w:t>高</w:t>
            </w:r>
          </w:p>
        </w:tc>
        <w:tc>
          <w:tcPr>
            <w:tcW w:type="dxa" w:w="2160"/>
            <w:vAlign w:val="center"/>
          </w:tcPr>
          <w:p>
            <w:pPr>
              <w:spacing w:after="0"/>
              <w:jc w:val="left"/>
            </w:pPr>
            <w:r/>
            <w:r>
              <w:rPr>
                <w:rFonts w:ascii="Calibri" w:hAnsi="Calibri" w:eastAsia="Microsoft YaHei"/>
                <w:b w:val="0"/>
                <w:sz w:val="19"/>
              </w:rPr>
              <w:t>提高 collapse 权重</w:t>
            </w:r>
          </w:p>
        </w:tc>
        <w:tc>
          <w:tcPr>
            <w:tcW w:type="dxa" w:w="4320"/>
            <w:vAlign w:val="center"/>
          </w:tcPr>
          <w:p>
            <w:pPr>
              <w:spacing w:after="0"/>
              <w:jc w:val="left"/>
            </w:pPr>
            <w:r/>
            <w:r>
              <w:rPr>
                <w:rFonts w:ascii="Calibri" w:hAnsi="Calibri" w:eastAsia="Microsoft YaHei"/>
                <w:b w:val="0"/>
                <w:sz w:val="19"/>
              </w:rPr>
              <w:t>地震山区道路可能受损、中断或绕行。</w:t>
            </w:r>
          </w:p>
        </w:tc>
      </w:tr>
      <w:tr>
        <w:tc>
          <w:tcPr>
            <w:tcW w:type="dxa" w:w="1584"/>
            <w:vAlign w:val="center"/>
          </w:tcPr>
          <w:p>
            <w:pPr>
              <w:spacing w:after="0"/>
              <w:jc w:val="center"/>
            </w:pPr>
            <w:r/>
            <w:r>
              <w:rPr>
                <w:rFonts w:ascii="Calibri" w:hAnsi="Calibri" w:eastAsia="Microsoft YaHei"/>
                <w:b w:val="0"/>
                <w:sz w:val="19"/>
              </w:rPr>
              <w:t>火灾影响区</w:t>
            </w:r>
          </w:p>
        </w:tc>
        <w:tc>
          <w:tcPr>
            <w:tcW w:type="dxa" w:w="1296"/>
            <w:vAlign w:val="center"/>
          </w:tcPr>
          <w:p>
            <w:pPr>
              <w:spacing w:after="0"/>
              <w:jc w:val="center"/>
            </w:pPr>
            <w:r/>
            <w:r>
              <w:rPr>
                <w:rFonts w:ascii="Calibri" w:hAnsi="Calibri" w:eastAsia="Microsoft YaHei"/>
                <w:b w:val="0"/>
                <w:sz w:val="19"/>
              </w:rPr>
              <w:t>高</w:t>
            </w:r>
          </w:p>
        </w:tc>
        <w:tc>
          <w:tcPr>
            <w:tcW w:type="dxa" w:w="2160"/>
            <w:vAlign w:val="center"/>
          </w:tcPr>
          <w:p>
            <w:pPr>
              <w:spacing w:after="0"/>
              <w:jc w:val="left"/>
            </w:pPr>
            <w:r/>
            <w:r>
              <w:rPr>
                <w:rFonts w:ascii="Calibri" w:hAnsi="Calibri" w:eastAsia="Microsoft YaHei"/>
                <w:b w:val="0"/>
                <w:sz w:val="19"/>
              </w:rPr>
              <w:t>提高 fire 权重并可加入 fixed_cost</w:t>
            </w:r>
          </w:p>
        </w:tc>
        <w:tc>
          <w:tcPr>
            <w:tcW w:type="dxa" w:w="4320"/>
            <w:vAlign w:val="center"/>
          </w:tcPr>
          <w:p>
            <w:pPr>
              <w:spacing w:after="0"/>
              <w:jc w:val="left"/>
            </w:pPr>
            <w:r/>
            <w:r>
              <w:rPr>
                <w:rFonts w:ascii="Calibri" w:hAnsi="Calibri" w:eastAsia="Microsoft YaHei"/>
                <w:b w:val="0"/>
                <w:sz w:val="19"/>
              </w:rPr>
              <w:t>火场附近可能存在警戒、救援作业和交通管制。</w:t>
            </w:r>
          </w:p>
        </w:tc>
      </w:tr>
    </w:tbl>
    <w:p/>
    <w:p>
      <w:pPr>
        <w:spacing w:after="120"/>
      </w:pPr>
      <w:r>
        <w:rPr>
          <w:rFonts w:ascii="Calibri" w:hAnsi="Calibri" w:eastAsia="Microsoft YaHei"/>
        </w:rPr>
        <w:t>理论依据：风险管理中常采用风险识别、风险分析和风险评价流程，将不确定风险转换为等级或分值；交通规划中常用道路阻抗函数表示拥堵导致的通行代价上升。本项目将这两类思想结合，把灾害影响区和拥堵状态转换为道路边权重。</w:t>
      </w:r>
    </w:p>
    <w:p>
      <w:pPr>
        <w:pStyle w:val="Heading1"/>
      </w:pPr>
      <w:r>
        <w:rPr>
          <w:rFonts w:ascii="Calibri" w:hAnsi="Calibri" w:eastAsia="Microsoft YaHei"/>
        </w:rPr>
        <w:t>四、Dijkstra 算法过程</w:t>
      </w:r>
    </w:p>
    <w:p>
      <w:pPr>
        <w:spacing w:after="120"/>
      </w:pPr>
      <w:r>
        <w:rPr>
          <w:rFonts w:ascii="Calibri" w:hAnsi="Calibri" w:eastAsia="Microsoft YaHei"/>
        </w:rPr>
        <w:t>本项目只使用 Dijkstra 算法。Dijkstra 适用于边权重非负的图，能够求出从起点到其他节点的最小累计代价路径。本项目中的道路距离、灾害风险权重和拥堵修正都不是负数，因此满足算法条件。</w:t>
      </w:r>
    </w:p>
    <w:p>
      <w:pPr>
        <w:pStyle w:val="ListBullet"/>
        <w:spacing w:after="60"/>
      </w:pPr>
      <w:r>
        <w:rPr>
          <w:rFonts w:ascii="Calibri" w:hAnsi="Calibri" w:eastAsia="Microsoft YaHei"/>
        </w:rPr>
        <w:t>初始化：将起点代价设为 0，其余节点代价设为无穷大。</w:t>
      </w:r>
    </w:p>
    <w:p>
      <w:pPr>
        <w:pStyle w:val="ListBullet"/>
        <w:spacing w:after="60"/>
      </w:pPr>
      <w:r>
        <w:rPr>
          <w:rFonts w:ascii="Calibri" w:hAnsi="Calibri" w:eastAsia="Microsoft YaHei"/>
        </w:rPr>
        <w:t>选择节点：每次从未确定节点中选出当前累计代价最小的节点。</w:t>
      </w:r>
    </w:p>
    <w:p>
      <w:pPr>
        <w:pStyle w:val="ListBullet"/>
        <w:spacing w:after="60"/>
      </w:pPr>
      <w:r>
        <w:rPr>
          <w:rFonts w:ascii="Calibri" w:hAnsi="Calibri" w:eastAsia="Microsoft YaHei"/>
        </w:rPr>
        <w:t>松弛边：检查该节点连接的道路边，如果经过该边能降低邻接节点代价，则更新邻接节点代价和前驱节点。</w:t>
      </w:r>
    </w:p>
    <w:p>
      <w:pPr>
        <w:pStyle w:val="ListBullet"/>
        <w:spacing w:after="60"/>
      </w:pPr>
      <w:r>
        <w:rPr>
          <w:rFonts w:ascii="Calibri" w:hAnsi="Calibri" w:eastAsia="Microsoft YaHei"/>
        </w:rPr>
        <w:t>终止：当目标点被确定，或所有可达节点处理完毕后停止。</w:t>
      </w:r>
    </w:p>
    <w:p>
      <w:pPr>
        <w:pStyle w:val="ListBullet"/>
        <w:spacing w:after="60"/>
      </w:pPr>
      <w:r>
        <w:rPr>
          <w:rFonts w:ascii="Calibri" w:hAnsi="Calibri" w:eastAsia="Microsoft YaHei"/>
        </w:rPr>
        <w:t>路径回溯：根据前驱节点从目标点回溯到起点，得到完整路径。</w:t>
      </w:r>
    </w:p>
    <w:p>
      <w:pPr>
        <w:spacing w:after="120"/>
      </w:pPr>
      <w:r>
        <w:rPr>
          <w:rFonts w:ascii="Calibri" w:hAnsi="Calibri" w:eastAsia="Microsoft YaHei"/>
        </w:rPr>
        <w:t>项目中 Dijkstra 运行两次：第一次使用 distance 权重，得到普通最短路径；第二次使用 safe_weight 权重，得到安全救援路径。两次计算使用同一张道路图，因此对比结果能够直接反映危险权重对路径选择的影响。</w:t>
      </w:r>
    </w:p>
    <w:p>
      <w:pPr>
        <w:pStyle w:val="Heading1"/>
      </w:pPr>
      <w:r>
        <w:rPr>
          <w:rFonts w:ascii="Calibri" w:hAnsi="Calibri" w:eastAsia="Microsoft YaHei"/>
        </w:rPr>
        <w:t>五、结果分析</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800"/>
            <w:vAlign w:val="center"/>
            <w:shd w:fill="E8EEF5"/>
          </w:tcPr>
          <w:p>
            <w:pPr>
              <w:spacing w:after="0"/>
              <w:jc w:val="center"/>
            </w:pPr>
            <w:r/>
            <w:r>
              <w:rPr>
                <w:rFonts w:ascii="Calibri" w:hAnsi="Calibri" w:eastAsia="Microsoft YaHei"/>
                <w:b/>
                <w:sz w:val="19"/>
              </w:rPr>
              <w:t>场景</w:t>
            </w:r>
          </w:p>
        </w:tc>
        <w:tc>
          <w:tcPr>
            <w:tcW w:type="dxa" w:w="1800"/>
            <w:vAlign w:val="center"/>
            <w:shd w:fill="E8EEF5"/>
          </w:tcPr>
          <w:p>
            <w:pPr>
              <w:spacing w:after="0"/>
              <w:jc w:val="center"/>
            </w:pPr>
            <w:r/>
            <w:r>
              <w:rPr>
                <w:rFonts w:ascii="Calibri" w:hAnsi="Calibri" w:eastAsia="Microsoft YaHei"/>
                <w:b/>
                <w:sz w:val="19"/>
              </w:rPr>
              <w:t>路径类型</w:t>
            </w:r>
          </w:p>
        </w:tc>
        <w:tc>
          <w:tcPr>
            <w:tcW w:type="dxa" w:w="1296"/>
            <w:vAlign w:val="center"/>
            <w:shd w:fill="E8EEF5"/>
          </w:tcPr>
          <w:p>
            <w:pPr>
              <w:spacing w:after="0"/>
              <w:jc w:val="center"/>
            </w:pPr>
            <w:r/>
            <w:r>
              <w:rPr>
                <w:rFonts w:ascii="Calibri" w:hAnsi="Calibri" w:eastAsia="Microsoft YaHei"/>
                <w:b/>
                <w:sz w:val="19"/>
              </w:rPr>
              <w:t>距离 km</w:t>
            </w:r>
          </w:p>
        </w:tc>
        <w:tc>
          <w:tcPr>
            <w:tcW w:type="dxa" w:w="1296"/>
            <w:vAlign w:val="center"/>
            <w:shd w:fill="E8EEF5"/>
          </w:tcPr>
          <w:p>
            <w:pPr>
              <w:spacing w:after="0"/>
              <w:jc w:val="center"/>
            </w:pPr>
            <w:r/>
            <w:r>
              <w:rPr>
                <w:rFonts w:ascii="Calibri" w:hAnsi="Calibri" w:eastAsia="Microsoft YaHei"/>
                <w:b/>
                <w:sz w:val="19"/>
              </w:rPr>
              <w:t>总代价</w:t>
            </w:r>
          </w:p>
        </w:tc>
        <w:tc>
          <w:tcPr>
            <w:tcW w:type="dxa" w:w="1296"/>
            <w:vAlign w:val="center"/>
            <w:shd w:fill="E8EEF5"/>
          </w:tcPr>
          <w:p>
            <w:pPr>
              <w:spacing w:after="0"/>
              <w:jc w:val="center"/>
            </w:pPr>
            <w:r/>
            <w:r>
              <w:rPr>
                <w:rFonts w:ascii="Calibri" w:hAnsi="Calibri" w:eastAsia="Microsoft YaHei"/>
                <w:b/>
                <w:sz w:val="19"/>
              </w:rPr>
              <w:t>危险边数</w:t>
            </w:r>
          </w:p>
        </w:tc>
        <w:tc>
          <w:tcPr>
            <w:tcW w:type="dxa" w:w="2160"/>
            <w:vAlign w:val="center"/>
            <w:shd w:fill="E8EEF5"/>
          </w:tcPr>
          <w:p>
            <w:pPr>
              <w:spacing w:after="0"/>
              <w:jc w:val="center"/>
            </w:pPr>
            <w:r/>
            <w:r>
              <w:rPr>
                <w:rFonts w:ascii="Calibri" w:hAnsi="Calibri" w:eastAsia="Microsoft YaHei"/>
                <w:b/>
                <w:sz w:val="19"/>
              </w:rPr>
              <w:t>危险类型</w:t>
            </w:r>
          </w:p>
        </w:tc>
      </w:tr>
      <w:tr>
        <w:tc>
          <w:tcPr>
            <w:tcW w:type="dxa" w:w="1800"/>
            <w:vAlign w:val="center"/>
          </w:tcPr>
          <w:p>
            <w:pPr>
              <w:spacing w:after="0"/>
              <w:jc w:val="center"/>
            </w:pPr>
            <w:r/>
            <w:r>
              <w:rPr>
                <w:rFonts w:ascii="Calibri" w:hAnsi="Calibri" w:eastAsia="Microsoft YaHei"/>
                <w:b w:val="0"/>
                <w:sz w:val="19"/>
              </w:rPr>
              <w:t>四川地震场景</w:t>
            </w:r>
          </w:p>
        </w:tc>
        <w:tc>
          <w:tcPr>
            <w:tcW w:type="dxa" w:w="1800"/>
            <w:vAlign w:val="center"/>
          </w:tcPr>
          <w:p>
            <w:pPr>
              <w:spacing w:after="0"/>
              <w:jc w:val="center"/>
            </w:pPr>
            <w:r/>
            <w:r>
              <w:rPr>
                <w:rFonts w:ascii="Calibri" w:hAnsi="Calibri" w:eastAsia="Microsoft YaHei"/>
                <w:b w:val="0"/>
                <w:sz w:val="19"/>
              </w:rPr>
              <w:t>普通最短路径</w:t>
            </w:r>
          </w:p>
        </w:tc>
        <w:tc>
          <w:tcPr>
            <w:tcW w:type="dxa" w:w="1296"/>
            <w:vAlign w:val="center"/>
          </w:tcPr>
          <w:p>
            <w:pPr>
              <w:spacing w:after="0"/>
              <w:jc w:val="center"/>
            </w:pPr>
            <w:r/>
            <w:r>
              <w:rPr>
                <w:rFonts w:ascii="Calibri" w:hAnsi="Calibri" w:eastAsia="Microsoft YaHei"/>
                <w:b w:val="0"/>
                <w:sz w:val="19"/>
              </w:rPr>
              <w:t>156.684</w:t>
            </w:r>
          </w:p>
        </w:tc>
        <w:tc>
          <w:tcPr>
            <w:tcW w:type="dxa" w:w="1296"/>
            <w:vAlign w:val="center"/>
          </w:tcPr>
          <w:p>
            <w:pPr>
              <w:spacing w:after="0"/>
              <w:jc w:val="center"/>
            </w:pPr>
            <w:r/>
            <w:r>
              <w:rPr>
                <w:rFonts w:ascii="Calibri" w:hAnsi="Calibri" w:eastAsia="Microsoft YaHei"/>
                <w:b w:val="0"/>
                <w:sz w:val="19"/>
              </w:rPr>
              <w:t>156.684</w:t>
            </w:r>
          </w:p>
        </w:tc>
        <w:tc>
          <w:tcPr>
            <w:tcW w:type="dxa" w:w="1296"/>
            <w:vAlign w:val="center"/>
          </w:tcPr>
          <w:p>
            <w:pPr>
              <w:spacing w:after="0"/>
              <w:jc w:val="center"/>
            </w:pPr>
            <w:r/>
            <w:r>
              <w:rPr>
                <w:rFonts w:ascii="Calibri" w:hAnsi="Calibri" w:eastAsia="Microsoft YaHei"/>
                <w:b w:val="0"/>
                <w:sz w:val="19"/>
              </w:rPr>
              <w:t>825</w:t>
            </w:r>
          </w:p>
        </w:tc>
        <w:tc>
          <w:tcPr>
            <w:tcW w:type="dxa" w:w="2160"/>
            <w:vAlign w:val="center"/>
          </w:tcPr>
          <w:p>
            <w:pPr>
              <w:spacing w:after="0"/>
              <w:jc w:val="left"/>
            </w:pPr>
            <w:r/>
            <w:r>
              <w:rPr>
                <w:rFonts w:ascii="Calibri" w:hAnsi="Calibri" w:eastAsia="Microsoft YaHei"/>
                <w:b w:val="0"/>
                <w:sz w:val="19"/>
              </w:rPr>
              <w:t>collapse, congestion</w:t>
            </w:r>
          </w:p>
        </w:tc>
      </w:tr>
      <w:tr>
        <w:tc>
          <w:tcPr>
            <w:tcW w:type="dxa" w:w="1800"/>
            <w:vAlign w:val="center"/>
          </w:tcPr>
          <w:p>
            <w:pPr>
              <w:spacing w:after="0"/>
              <w:jc w:val="center"/>
            </w:pPr>
            <w:r/>
            <w:r>
              <w:rPr>
                <w:rFonts w:ascii="Calibri" w:hAnsi="Calibri" w:eastAsia="Microsoft YaHei"/>
                <w:b w:val="0"/>
                <w:sz w:val="19"/>
              </w:rPr>
              <w:t>北京洪水场景</w:t>
            </w:r>
          </w:p>
        </w:tc>
        <w:tc>
          <w:tcPr>
            <w:tcW w:type="dxa" w:w="1800"/>
            <w:vAlign w:val="center"/>
          </w:tcPr>
          <w:p>
            <w:pPr>
              <w:spacing w:after="0"/>
              <w:jc w:val="center"/>
            </w:pPr>
            <w:r/>
            <w:r>
              <w:rPr>
                <w:rFonts w:ascii="Calibri" w:hAnsi="Calibri" w:eastAsia="Microsoft YaHei"/>
                <w:b w:val="0"/>
                <w:sz w:val="19"/>
              </w:rPr>
              <w:t>普通最短路径</w:t>
            </w:r>
          </w:p>
        </w:tc>
        <w:tc>
          <w:tcPr>
            <w:tcW w:type="dxa" w:w="1296"/>
            <w:vAlign w:val="center"/>
          </w:tcPr>
          <w:p>
            <w:pPr>
              <w:spacing w:after="0"/>
              <w:jc w:val="center"/>
            </w:pPr>
            <w:r/>
            <w:r>
              <w:rPr>
                <w:rFonts w:ascii="Calibri" w:hAnsi="Calibri" w:eastAsia="Microsoft YaHei"/>
                <w:b w:val="0"/>
                <w:sz w:val="19"/>
              </w:rPr>
              <w:t>19.905</w:t>
            </w:r>
          </w:p>
        </w:tc>
        <w:tc>
          <w:tcPr>
            <w:tcW w:type="dxa" w:w="1296"/>
            <w:vAlign w:val="center"/>
          </w:tcPr>
          <w:p>
            <w:pPr>
              <w:spacing w:after="0"/>
              <w:jc w:val="center"/>
            </w:pPr>
            <w:r/>
            <w:r>
              <w:rPr>
                <w:rFonts w:ascii="Calibri" w:hAnsi="Calibri" w:eastAsia="Microsoft YaHei"/>
                <w:b w:val="0"/>
                <w:sz w:val="19"/>
              </w:rPr>
              <w:t>19.905</w:t>
            </w:r>
          </w:p>
        </w:tc>
        <w:tc>
          <w:tcPr>
            <w:tcW w:type="dxa" w:w="1296"/>
            <w:vAlign w:val="center"/>
          </w:tcPr>
          <w:p>
            <w:pPr>
              <w:spacing w:after="0"/>
              <w:jc w:val="center"/>
            </w:pPr>
            <w:r/>
            <w:r>
              <w:rPr>
                <w:rFonts w:ascii="Calibri" w:hAnsi="Calibri" w:eastAsia="Microsoft YaHei"/>
                <w:b w:val="0"/>
                <w:sz w:val="19"/>
              </w:rPr>
              <w:t>86</w:t>
            </w:r>
          </w:p>
        </w:tc>
        <w:tc>
          <w:tcPr>
            <w:tcW w:type="dxa" w:w="2160"/>
            <w:vAlign w:val="center"/>
          </w:tcPr>
          <w:p>
            <w:pPr>
              <w:spacing w:after="0"/>
              <w:jc w:val="left"/>
            </w:pPr>
            <w:r/>
            <w:r>
              <w:rPr>
                <w:rFonts w:ascii="Calibri" w:hAnsi="Calibri" w:eastAsia="Microsoft YaHei"/>
                <w:b w:val="0"/>
                <w:sz w:val="19"/>
              </w:rPr>
              <w:t>congestion, flood</w:t>
            </w:r>
          </w:p>
        </w:tc>
      </w:tr>
      <w:tr>
        <w:tc>
          <w:tcPr>
            <w:tcW w:type="dxa" w:w="1800"/>
            <w:vAlign w:val="center"/>
          </w:tcPr>
          <w:p>
            <w:pPr>
              <w:spacing w:after="0"/>
              <w:jc w:val="center"/>
            </w:pPr>
            <w:r/>
            <w:r>
              <w:rPr>
                <w:rFonts w:ascii="Calibri" w:hAnsi="Calibri" w:eastAsia="Microsoft YaHei"/>
                <w:b w:val="0"/>
                <w:sz w:val="19"/>
              </w:rPr>
              <w:t>上海火灾场景</w:t>
            </w:r>
          </w:p>
        </w:tc>
        <w:tc>
          <w:tcPr>
            <w:tcW w:type="dxa" w:w="1800"/>
            <w:vAlign w:val="center"/>
          </w:tcPr>
          <w:p>
            <w:pPr>
              <w:spacing w:after="0"/>
              <w:jc w:val="center"/>
            </w:pPr>
            <w:r/>
            <w:r>
              <w:rPr>
                <w:rFonts w:ascii="Calibri" w:hAnsi="Calibri" w:eastAsia="Microsoft YaHei"/>
                <w:b w:val="0"/>
                <w:sz w:val="19"/>
              </w:rPr>
              <w:t>普通最短路径</w:t>
            </w:r>
          </w:p>
        </w:tc>
        <w:tc>
          <w:tcPr>
            <w:tcW w:type="dxa" w:w="1296"/>
            <w:vAlign w:val="center"/>
          </w:tcPr>
          <w:p>
            <w:pPr>
              <w:spacing w:after="0"/>
              <w:jc w:val="center"/>
            </w:pPr>
            <w:r/>
            <w:r>
              <w:rPr>
                <w:rFonts w:ascii="Calibri" w:hAnsi="Calibri" w:eastAsia="Microsoft YaHei"/>
                <w:b w:val="0"/>
                <w:sz w:val="19"/>
              </w:rPr>
              <w:t>2.001</w:t>
            </w:r>
          </w:p>
        </w:tc>
        <w:tc>
          <w:tcPr>
            <w:tcW w:type="dxa" w:w="1296"/>
            <w:vAlign w:val="center"/>
          </w:tcPr>
          <w:p>
            <w:pPr>
              <w:spacing w:after="0"/>
              <w:jc w:val="center"/>
            </w:pPr>
            <w:r/>
            <w:r>
              <w:rPr>
                <w:rFonts w:ascii="Calibri" w:hAnsi="Calibri" w:eastAsia="Microsoft YaHei"/>
                <w:b w:val="0"/>
                <w:sz w:val="19"/>
              </w:rPr>
              <w:t>2.001</w:t>
            </w:r>
          </w:p>
        </w:tc>
        <w:tc>
          <w:tcPr>
            <w:tcW w:type="dxa" w:w="1296"/>
            <w:vAlign w:val="center"/>
          </w:tcPr>
          <w:p>
            <w:pPr>
              <w:spacing w:after="0"/>
              <w:jc w:val="center"/>
            </w:pPr>
            <w:r/>
            <w:r>
              <w:rPr>
                <w:rFonts w:ascii="Calibri" w:hAnsi="Calibri" w:eastAsia="Microsoft YaHei"/>
                <w:b w:val="0"/>
                <w:sz w:val="19"/>
              </w:rPr>
              <w:t>14</w:t>
            </w:r>
          </w:p>
        </w:tc>
        <w:tc>
          <w:tcPr>
            <w:tcW w:type="dxa" w:w="2160"/>
            <w:vAlign w:val="center"/>
          </w:tcPr>
          <w:p>
            <w:pPr>
              <w:spacing w:after="0"/>
              <w:jc w:val="center"/>
            </w:pPr>
            <w:r/>
            <w:r>
              <w:rPr>
                <w:rFonts w:ascii="Calibri" w:hAnsi="Calibri" w:eastAsia="Microsoft YaHei"/>
                <w:b w:val="0"/>
                <w:sz w:val="19"/>
              </w:rPr>
              <w:t>fire</w:t>
            </w:r>
          </w:p>
        </w:tc>
      </w:tr>
      <w:tr>
        <w:tc>
          <w:tcPr>
            <w:tcW w:type="dxa" w:w="1800"/>
            <w:vAlign w:val="center"/>
          </w:tcPr>
          <w:p>
            <w:pPr>
              <w:spacing w:after="0"/>
              <w:jc w:val="center"/>
            </w:pPr>
            <w:r/>
            <w:r>
              <w:rPr>
                <w:rFonts w:ascii="Calibri" w:hAnsi="Calibri" w:eastAsia="Microsoft YaHei"/>
                <w:b w:val="0"/>
                <w:sz w:val="19"/>
              </w:rPr>
              <w:t>四川地震场景</w:t>
            </w:r>
          </w:p>
        </w:tc>
        <w:tc>
          <w:tcPr>
            <w:tcW w:type="dxa" w:w="1800"/>
            <w:vAlign w:val="center"/>
          </w:tcPr>
          <w:p>
            <w:pPr>
              <w:spacing w:after="0"/>
              <w:jc w:val="center"/>
            </w:pPr>
            <w:r/>
            <w:r>
              <w:rPr>
                <w:rFonts w:ascii="Calibri" w:hAnsi="Calibri" w:eastAsia="Microsoft YaHei"/>
                <w:b w:val="0"/>
                <w:sz w:val="19"/>
              </w:rPr>
              <w:t>安全路径</w:t>
            </w:r>
          </w:p>
        </w:tc>
        <w:tc>
          <w:tcPr>
            <w:tcW w:type="dxa" w:w="1296"/>
            <w:vAlign w:val="center"/>
          </w:tcPr>
          <w:p>
            <w:pPr>
              <w:spacing w:after="0"/>
              <w:jc w:val="center"/>
            </w:pPr>
            <w:r/>
            <w:r>
              <w:rPr>
                <w:rFonts w:ascii="Calibri" w:hAnsi="Calibri" w:eastAsia="Microsoft YaHei"/>
                <w:b w:val="0"/>
                <w:sz w:val="19"/>
              </w:rPr>
              <w:t>209.05</w:t>
            </w:r>
          </w:p>
        </w:tc>
        <w:tc>
          <w:tcPr>
            <w:tcW w:type="dxa" w:w="1296"/>
            <w:vAlign w:val="center"/>
          </w:tcPr>
          <w:p>
            <w:pPr>
              <w:spacing w:after="0"/>
              <w:jc w:val="center"/>
            </w:pPr>
            <w:r/>
            <w:r>
              <w:rPr>
                <w:rFonts w:ascii="Calibri" w:hAnsi="Calibri" w:eastAsia="Microsoft YaHei"/>
                <w:b w:val="0"/>
                <w:sz w:val="19"/>
              </w:rPr>
              <w:t>220.38</w:t>
            </w:r>
          </w:p>
        </w:tc>
        <w:tc>
          <w:tcPr>
            <w:tcW w:type="dxa" w:w="1296"/>
            <w:vAlign w:val="center"/>
          </w:tcPr>
          <w:p>
            <w:pPr>
              <w:spacing w:after="0"/>
              <w:jc w:val="center"/>
            </w:pPr>
            <w:r/>
            <w:r>
              <w:rPr>
                <w:rFonts w:ascii="Calibri" w:hAnsi="Calibri" w:eastAsia="Microsoft YaHei"/>
                <w:b w:val="0"/>
                <w:sz w:val="19"/>
              </w:rPr>
              <w:t>0</w:t>
            </w:r>
          </w:p>
        </w:tc>
        <w:tc>
          <w:tcPr>
            <w:tcW w:type="dxa" w:w="2160"/>
            <w:vAlign w:val="center"/>
          </w:tcPr>
          <w:p>
            <w:pPr>
              <w:spacing w:after="0"/>
              <w:jc w:val="center"/>
            </w:pPr>
            <w:r/>
            <w:r>
              <w:rPr>
                <w:rFonts w:ascii="Calibri" w:hAnsi="Calibri" w:eastAsia="Microsoft YaHei"/>
                <w:b w:val="0"/>
                <w:sz w:val="19"/>
              </w:rPr>
              <w:t>无</w:t>
            </w:r>
          </w:p>
        </w:tc>
      </w:tr>
      <w:tr>
        <w:tc>
          <w:tcPr>
            <w:tcW w:type="dxa" w:w="1800"/>
            <w:vAlign w:val="center"/>
          </w:tcPr>
          <w:p>
            <w:pPr>
              <w:spacing w:after="0"/>
              <w:jc w:val="center"/>
            </w:pPr>
            <w:r/>
            <w:r>
              <w:rPr>
                <w:rFonts w:ascii="Calibri" w:hAnsi="Calibri" w:eastAsia="Microsoft YaHei"/>
                <w:b w:val="0"/>
                <w:sz w:val="19"/>
              </w:rPr>
              <w:t>北京洪水场景</w:t>
            </w:r>
          </w:p>
        </w:tc>
        <w:tc>
          <w:tcPr>
            <w:tcW w:type="dxa" w:w="1800"/>
            <w:vAlign w:val="center"/>
          </w:tcPr>
          <w:p>
            <w:pPr>
              <w:spacing w:after="0"/>
              <w:jc w:val="center"/>
            </w:pPr>
            <w:r/>
            <w:r>
              <w:rPr>
                <w:rFonts w:ascii="Calibri" w:hAnsi="Calibri" w:eastAsia="Microsoft YaHei"/>
                <w:b w:val="0"/>
                <w:sz w:val="19"/>
              </w:rPr>
              <w:t>安全路径</w:t>
            </w:r>
          </w:p>
        </w:tc>
        <w:tc>
          <w:tcPr>
            <w:tcW w:type="dxa" w:w="1296"/>
            <w:vAlign w:val="center"/>
          </w:tcPr>
          <w:p>
            <w:pPr>
              <w:spacing w:after="0"/>
              <w:jc w:val="center"/>
            </w:pPr>
            <w:r/>
            <w:r>
              <w:rPr>
                <w:rFonts w:ascii="Calibri" w:hAnsi="Calibri" w:eastAsia="Microsoft YaHei"/>
                <w:b w:val="0"/>
                <w:sz w:val="19"/>
              </w:rPr>
              <w:t>22.764</w:t>
            </w:r>
          </w:p>
        </w:tc>
        <w:tc>
          <w:tcPr>
            <w:tcW w:type="dxa" w:w="1296"/>
            <w:vAlign w:val="center"/>
          </w:tcPr>
          <w:p>
            <w:pPr>
              <w:spacing w:after="0"/>
              <w:jc w:val="center"/>
            </w:pPr>
            <w:r/>
            <w:r>
              <w:rPr>
                <w:rFonts w:ascii="Calibri" w:hAnsi="Calibri" w:eastAsia="Microsoft YaHei"/>
                <w:b w:val="0"/>
                <w:sz w:val="19"/>
              </w:rPr>
              <w:t>23.771</w:t>
            </w:r>
          </w:p>
        </w:tc>
        <w:tc>
          <w:tcPr>
            <w:tcW w:type="dxa" w:w="1296"/>
            <w:vAlign w:val="center"/>
          </w:tcPr>
          <w:p>
            <w:pPr>
              <w:spacing w:after="0"/>
              <w:jc w:val="center"/>
            </w:pPr>
            <w:r/>
            <w:r>
              <w:rPr>
                <w:rFonts w:ascii="Calibri" w:hAnsi="Calibri" w:eastAsia="Microsoft YaHei"/>
                <w:b w:val="0"/>
                <w:sz w:val="19"/>
              </w:rPr>
              <w:t>1</w:t>
            </w:r>
          </w:p>
        </w:tc>
        <w:tc>
          <w:tcPr>
            <w:tcW w:type="dxa" w:w="2160"/>
            <w:vAlign w:val="center"/>
          </w:tcPr>
          <w:p>
            <w:pPr>
              <w:spacing w:after="0"/>
              <w:jc w:val="center"/>
            </w:pPr>
            <w:r/>
            <w:r>
              <w:rPr>
                <w:rFonts w:ascii="Calibri" w:hAnsi="Calibri" w:eastAsia="Microsoft YaHei"/>
                <w:b w:val="0"/>
                <w:sz w:val="19"/>
              </w:rPr>
              <w:t>congestion</w:t>
            </w:r>
          </w:p>
        </w:tc>
      </w:tr>
      <w:tr>
        <w:tc>
          <w:tcPr>
            <w:tcW w:type="dxa" w:w="1800"/>
            <w:vAlign w:val="center"/>
          </w:tcPr>
          <w:p>
            <w:pPr>
              <w:spacing w:after="0"/>
              <w:jc w:val="center"/>
            </w:pPr>
            <w:r/>
            <w:r>
              <w:rPr>
                <w:rFonts w:ascii="Calibri" w:hAnsi="Calibri" w:eastAsia="Microsoft YaHei"/>
                <w:b w:val="0"/>
                <w:sz w:val="19"/>
              </w:rPr>
              <w:t>上海火灾场景</w:t>
            </w:r>
          </w:p>
        </w:tc>
        <w:tc>
          <w:tcPr>
            <w:tcW w:type="dxa" w:w="1800"/>
            <w:vAlign w:val="center"/>
          </w:tcPr>
          <w:p>
            <w:pPr>
              <w:spacing w:after="0"/>
              <w:jc w:val="center"/>
            </w:pPr>
            <w:r/>
            <w:r>
              <w:rPr>
                <w:rFonts w:ascii="Calibri" w:hAnsi="Calibri" w:eastAsia="Microsoft YaHei"/>
                <w:b w:val="0"/>
                <w:sz w:val="19"/>
              </w:rPr>
              <w:t>安全路径</w:t>
            </w:r>
          </w:p>
        </w:tc>
        <w:tc>
          <w:tcPr>
            <w:tcW w:type="dxa" w:w="1296"/>
            <w:vAlign w:val="center"/>
          </w:tcPr>
          <w:p>
            <w:pPr>
              <w:spacing w:after="0"/>
              <w:jc w:val="center"/>
            </w:pPr>
            <w:r/>
            <w:r>
              <w:rPr>
                <w:rFonts w:ascii="Calibri" w:hAnsi="Calibri" w:eastAsia="Microsoft YaHei"/>
                <w:b w:val="0"/>
                <w:sz w:val="19"/>
              </w:rPr>
              <w:t>3.725</w:t>
            </w:r>
          </w:p>
        </w:tc>
        <w:tc>
          <w:tcPr>
            <w:tcW w:type="dxa" w:w="1296"/>
            <w:vAlign w:val="center"/>
          </w:tcPr>
          <w:p>
            <w:pPr>
              <w:spacing w:after="0"/>
              <w:jc w:val="center"/>
            </w:pPr>
            <w:r/>
            <w:r>
              <w:rPr>
                <w:rFonts w:ascii="Calibri" w:hAnsi="Calibri" w:eastAsia="Microsoft YaHei"/>
                <w:b w:val="0"/>
                <w:sz w:val="19"/>
              </w:rPr>
              <w:t>18.514</w:t>
            </w:r>
          </w:p>
        </w:tc>
        <w:tc>
          <w:tcPr>
            <w:tcW w:type="dxa" w:w="1296"/>
            <w:vAlign w:val="center"/>
          </w:tcPr>
          <w:p>
            <w:pPr>
              <w:spacing w:after="0"/>
              <w:jc w:val="center"/>
            </w:pPr>
            <w:r/>
            <w:r>
              <w:rPr>
                <w:rFonts w:ascii="Calibri" w:hAnsi="Calibri" w:eastAsia="Microsoft YaHei"/>
                <w:b w:val="0"/>
                <w:sz w:val="19"/>
              </w:rPr>
              <w:t>7</w:t>
            </w:r>
          </w:p>
        </w:tc>
        <w:tc>
          <w:tcPr>
            <w:tcW w:type="dxa" w:w="2160"/>
            <w:vAlign w:val="center"/>
          </w:tcPr>
          <w:p>
            <w:pPr>
              <w:spacing w:after="0"/>
              <w:jc w:val="center"/>
            </w:pPr>
            <w:r/>
            <w:r>
              <w:rPr>
                <w:rFonts w:ascii="Calibri" w:hAnsi="Calibri" w:eastAsia="Microsoft YaHei"/>
                <w:b w:val="0"/>
                <w:sz w:val="19"/>
              </w:rPr>
              <w:t>fire</w:t>
            </w:r>
          </w:p>
        </w:tc>
      </w:tr>
    </w:tbl>
    <w:p/>
    <w:p>
      <w:pPr>
        <w:spacing w:after="120"/>
      </w:pPr>
      <w:r>
        <w:rPr>
          <w:rFonts w:ascii="Calibri" w:hAnsi="Calibri" w:eastAsia="Microsoft YaHei"/>
        </w:rPr>
        <w:t>结果表明，普通最短路径通常距离更短，但更容易穿越灾害影响区或拥堵路段。安全路径通过提高危险路段权重，主动选择绕行路线。四川地震场景中，安全路径距离增加，但危险边数从 825 降为 0；北京洪水场景中，安全路径绕开主要积水区域，危险边数从 86 降为 1；上海火灾场景中，由于终点就在火场附近，安全路径无法完全避开火灾影响区，但危险边数从 14 降为 7。</w:t>
      </w:r>
    </w:p>
    <w:p>
      <w:pPr>
        <w:pStyle w:val="Heading2"/>
      </w:pPr>
      <w:r>
        <w:rPr>
          <w:rFonts w:ascii="Calibri" w:hAnsi="Calibri" w:eastAsia="Microsoft YaHei"/>
        </w:rPr>
        <w:t>四川地震场景可视化结果</w:t>
      </w:r>
    </w:p>
    <w:p>
      <w:pPr>
        <w:jc w:val="center"/>
      </w:pPr>
      <w:r>
        <w:drawing>
          <wp:inline xmlns:a="http://schemas.openxmlformats.org/drawingml/2006/main" xmlns:pic="http://schemas.openxmlformats.org/drawingml/2006/picture">
            <wp:extent cx="5669280" cy="3527552"/>
            <wp:docPr id="1" name="Picture 1"/>
            <wp:cNvGraphicFramePr>
              <a:graphicFrameLocks noChangeAspect="1"/>
            </wp:cNvGraphicFramePr>
            <a:graphic>
              <a:graphicData uri="http://schemas.openxmlformats.org/drawingml/2006/picture">
                <pic:pic>
                  <pic:nvPicPr>
                    <pic:cNvPr id="0" name="route_map_abstract.png"/>
                    <pic:cNvPicPr/>
                  </pic:nvPicPr>
                  <pic:blipFill>
                    <a:blip r:embed="rId9"/>
                    <a:stretch>
                      <a:fillRect/>
                    </a:stretch>
                  </pic:blipFill>
                  <pic:spPr>
                    <a:xfrm>
                      <a:off x="0" y="0"/>
                      <a:ext cx="5669280" cy="3527552"/>
                    </a:xfrm>
                    <a:prstGeom prst="rect"/>
                  </pic:spPr>
                </pic:pic>
              </a:graphicData>
            </a:graphic>
          </wp:inline>
        </w:drawing>
      </w:r>
    </w:p>
    <w:p>
      <w:pPr>
        <w:spacing w:after="120"/>
      </w:pPr>
      <w:r>
        <w:rPr>
          <w:rFonts w:ascii="Calibri" w:hAnsi="Calibri" w:eastAsia="Microsoft YaHei"/>
        </w:rPr>
        <w:t>图示说明：蓝色为普通最短路径，绿色为安全路径，红色或蓝色半透明区域为历史灾害影响区，橙色为危险或拥堵路段，浅灰色为真实道路网络背景。</w:t>
      </w:r>
    </w:p>
    <w:p>
      <w:pPr>
        <w:pStyle w:val="Heading2"/>
      </w:pPr>
      <w:r>
        <w:rPr>
          <w:rFonts w:ascii="Calibri" w:hAnsi="Calibri" w:eastAsia="Microsoft YaHei"/>
        </w:rPr>
        <w:t>北京洪水场景可视化结果</w:t>
      </w:r>
    </w:p>
    <w:p>
      <w:pPr>
        <w:jc w:val="center"/>
      </w:pPr>
      <w:r>
        <w:drawing>
          <wp:inline xmlns:a="http://schemas.openxmlformats.org/drawingml/2006/main" xmlns:pic="http://schemas.openxmlformats.org/drawingml/2006/picture">
            <wp:extent cx="5669280" cy="3527552"/>
            <wp:docPr id="2" name="Picture 2"/>
            <wp:cNvGraphicFramePr>
              <a:graphicFrameLocks noChangeAspect="1"/>
            </wp:cNvGraphicFramePr>
            <a:graphic>
              <a:graphicData uri="http://schemas.openxmlformats.org/drawingml/2006/picture">
                <pic:pic>
                  <pic:nvPicPr>
                    <pic:cNvPr id="0" name="route_map_abstract.png"/>
                    <pic:cNvPicPr/>
                  </pic:nvPicPr>
                  <pic:blipFill>
                    <a:blip r:embed="rId10"/>
                    <a:stretch>
                      <a:fillRect/>
                    </a:stretch>
                  </pic:blipFill>
                  <pic:spPr>
                    <a:xfrm>
                      <a:off x="0" y="0"/>
                      <a:ext cx="5669280" cy="3527552"/>
                    </a:xfrm>
                    <a:prstGeom prst="rect"/>
                  </pic:spPr>
                </pic:pic>
              </a:graphicData>
            </a:graphic>
          </wp:inline>
        </w:drawing>
      </w:r>
    </w:p>
    <w:p>
      <w:pPr>
        <w:spacing w:after="120"/>
      </w:pPr>
      <w:r>
        <w:rPr>
          <w:rFonts w:ascii="Calibri" w:hAnsi="Calibri" w:eastAsia="Microsoft YaHei"/>
        </w:rPr>
        <w:t>图示说明：蓝色为普通最短路径，绿色为安全路径，红色或蓝色半透明区域为历史灾害影响区，橙色为危险或拥堵路段，浅灰色为真实道路网络背景。</w:t>
      </w:r>
    </w:p>
    <w:p>
      <w:pPr>
        <w:pStyle w:val="Heading2"/>
      </w:pPr>
      <w:r>
        <w:rPr>
          <w:rFonts w:ascii="Calibri" w:hAnsi="Calibri" w:eastAsia="Microsoft YaHei"/>
        </w:rPr>
        <w:t>上海火灾场景可视化结果</w:t>
      </w:r>
    </w:p>
    <w:p>
      <w:pPr>
        <w:jc w:val="center"/>
      </w:pPr>
      <w:r>
        <w:drawing>
          <wp:inline xmlns:a="http://schemas.openxmlformats.org/drawingml/2006/main" xmlns:pic="http://schemas.openxmlformats.org/drawingml/2006/picture">
            <wp:extent cx="5669280" cy="3527552"/>
            <wp:docPr id="3" name="Picture 3"/>
            <wp:cNvGraphicFramePr>
              <a:graphicFrameLocks noChangeAspect="1"/>
            </wp:cNvGraphicFramePr>
            <a:graphic>
              <a:graphicData uri="http://schemas.openxmlformats.org/drawingml/2006/picture">
                <pic:pic>
                  <pic:nvPicPr>
                    <pic:cNvPr id="0" name="route_map_abstract.png"/>
                    <pic:cNvPicPr/>
                  </pic:nvPicPr>
                  <pic:blipFill>
                    <a:blip r:embed="rId11"/>
                    <a:stretch>
                      <a:fillRect/>
                    </a:stretch>
                  </pic:blipFill>
                  <pic:spPr>
                    <a:xfrm>
                      <a:off x="0" y="0"/>
                      <a:ext cx="5669280" cy="3527552"/>
                    </a:xfrm>
                    <a:prstGeom prst="rect"/>
                  </pic:spPr>
                </pic:pic>
              </a:graphicData>
            </a:graphic>
          </wp:inline>
        </w:drawing>
      </w:r>
    </w:p>
    <w:p>
      <w:pPr>
        <w:spacing w:after="120"/>
      </w:pPr>
      <w:r>
        <w:rPr>
          <w:rFonts w:ascii="Calibri" w:hAnsi="Calibri" w:eastAsia="Microsoft YaHei"/>
        </w:rPr>
        <w:t>图示说明：蓝色为普通最短路径，绿色为安全路径，红色或蓝色半透明区域为历史灾害影响区，橙色为危险或拥堵路段，浅灰色为真实道路网络背景。</w:t>
      </w:r>
    </w:p>
    <w:p>
      <w:pPr>
        <w:pStyle w:val="Heading1"/>
      </w:pPr>
      <w:r>
        <w:rPr>
          <w:rFonts w:ascii="Calibri" w:hAnsi="Calibri" w:eastAsia="Microsoft YaHei"/>
        </w:rPr>
        <w:t>六、改进方向</w:t>
      </w:r>
    </w:p>
    <w:p>
      <w:pPr>
        <w:pStyle w:val="ListBullet"/>
        <w:spacing w:after="60"/>
      </w:pPr>
      <w:r>
        <w:rPr>
          <w:rFonts w:ascii="Calibri" w:hAnsi="Calibri" w:eastAsia="Microsoft YaHei"/>
        </w:rPr>
        <w:t>灾害数据精细化：后续可引入官方道路封闭数据、灾后道路抢通记录、遥感识别结果或更精细的淹没范围数据。</w:t>
      </w:r>
    </w:p>
    <w:p>
      <w:pPr>
        <w:pStyle w:val="ListBullet"/>
        <w:spacing w:after="60"/>
      </w:pPr>
      <w:r>
        <w:rPr>
          <w:rFonts w:ascii="Calibri" w:hAnsi="Calibri" w:eastAsia="Microsoft YaHei"/>
        </w:rPr>
        <w:t>权重参数标定：当前风险系数采用半定量等级法，后续可结合历史通行速度、道路中断概率和救援车辆通过时间进行标定。</w:t>
      </w:r>
    </w:p>
    <w:p>
      <w:pPr>
        <w:pStyle w:val="ListBullet"/>
        <w:spacing w:after="60"/>
      </w:pPr>
      <w:r>
        <w:rPr>
          <w:rFonts w:ascii="Calibri" w:hAnsi="Calibri" w:eastAsia="Microsoft YaHei"/>
        </w:rPr>
        <w:t>动态路径规划：灾害现场道路状态会不断变化，后续可按时间间隔更新交通状态和灾害影响范围，进行动态重规划。</w:t>
      </w:r>
    </w:p>
    <w:p>
      <w:pPr>
        <w:pStyle w:val="ListBullet"/>
        <w:spacing w:after="60"/>
      </w:pPr>
      <w:r>
        <w:rPr>
          <w:rFonts w:ascii="Calibri" w:hAnsi="Calibri" w:eastAsia="Microsoft YaHei"/>
        </w:rPr>
        <w:t>车辆类型扩展：消防车、救护车、物资运输车对道路宽度、坡度、涉水深度和转弯半径要求不同，后续可加入车辆约束。</w:t>
      </w:r>
    </w:p>
    <w:p>
      <w:pPr>
        <w:pStyle w:val="ListBullet"/>
        <w:spacing w:after="60"/>
      </w:pPr>
      <w:r>
        <w:rPr>
          <w:rFonts w:ascii="Calibri" w:hAnsi="Calibri" w:eastAsia="Microsoft YaHei"/>
        </w:rPr>
        <w:t>多目标优化：除安全和距离外，还可加入救援时间、道路等级、医院或避难点容量等因素，形成多目标救援路径模型。</w:t>
      </w:r>
    </w:p>
    <w:p>
      <w:pPr>
        <w:pStyle w:val="Heading1"/>
      </w:pPr>
      <w:r>
        <w:rPr>
          <w:rFonts w:ascii="Calibri" w:hAnsi="Calibri" w:eastAsia="Microsoft YaHei"/>
        </w:rPr>
        <w:t>七、结论</w:t>
      </w:r>
    </w:p>
    <w:p>
      <w:pPr>
        <w:spacing w:after="120"/>
      </w:pPr>
      <w:r>
        <w:rPr>
          <w:rFonts w:ascii="Calibri" w:hAnsi="Calibri" w:eastAsia="Microsoft YaHei"/>
        </w:rPr>
        <w:t>本项目构建了一个基于真实道路网络和历史灾害数据的救援路径规划流程。系统能够将灾害影响区和交通拥堵状态映射到道路边，使用 Dijkstra 算法分别计算普通最短路径和安全路径。实验结果说明，在灾害救援场景中，距离最短并不一定最适合作为救援路线；综合考虑灾害风险和道路通行能力后得到的安全路径更符合应急响应需求。</w:t>
      </w:r>
    </w:p>
    <w:p>
      <w:pPr>
        <w:pStyle w:val="Heading1"/>
      </w:pPr>
      <w:r>
        <w:rPr>
          <w:rFonts w:ascii="Calibri" w:hAnsi="Calibri" w:eastAsia="Microsoft YaHei"/>
        </w:rPr>
        <w:t>参考依据</w:t>
      </w:r>
    </w:p>
    <w:p>
      <w:pPr>
        <w:pStyle w:val="ListBullet"/>
        <w:spacing w:after="60"/>
      </w:pPr>
      <w:r>
        <w:rPr>
          <w:rFonts w:ascii="Calibri" w:hAnsi="Calibri" w:eastAsia="Microsoft YaHei"/>
        </w:rPr>
        <w:t>OpenStreetMap / Overpass API：真实道路网络数据。</w:t>
      </w:r>
    </w:p>
    <w:p>
      <w:pPr>
        <w:pStyle w:val="ListBullet"/>
        <w:spacing w:after="60"/>
      </w:pPr>
      <w:r>
        <w:rPr>
          <w:rFonts w:ascii="Calibri" w:hAnsi="Calibri" w:eastAsia="Microsoft YaHei"/>
        </w:rPr>
        <w:t>高德交通态势 Web 服务：道路实时拥堵状态。</w:t>
      </w:r>
    </w:p>
    <w:p>
      <w:pPr>
        <w:pStyle w:val="ListBullet"/>
        <w:spacing w:after="60"/>
      </w:pPr>
      <w:r>
        <w:rPr>
          <w:rFonts w:ascii="Calibri" w:hAnsi="Calibri" w:eastAsia="Microsoft YaHei"/>
        </w:rPr>
        <w:t>USGS 地震资料：2008 年汶川地震历史事件。</w:t>
      </w:r>
    </w:p>
    <w:p>
      <w:pPr>
        <w:pStyle w:val="ListBullet"/>
        <w:spacing w:after="60"/>
      </w:pPr>
      <w:r>
        <w:rPr>
          <w:rFonts w:ascii="Calibri" w:hAnsi="Calibri" w:eastAsia="Microsoft YaHei"/>
        </w:rPr>
        <w:t>公开历史资料：北京 2012 年 7.21 暴雨、上海胶州路 11.15 火灾。</w:t>
      </w:r>
    </w:p>
    <w:p>
      <w:pPr>
        <w:pStyle w:val="ListBullet"/>
        <w:spacing w:after="60"/>
      </w:pPr>
      <w:r>
        <w:rPr>
          <w:rFonts w:ascii="Calibri" w:hAnsi="Calibri" w:eastAsia="Microsoft YaHei"/>
        </w:rPr>
        <w:t>ISO 31000 / IEC 31010 风险评估思想：风险识别、风险分析和风险评价。</w:t>
      </w:r>
    </w:p>
    <w:p>
      <w:pPr>
        <w:pStyle w:val="ListBullet"/>
        <w:spacing w:after="60"/>
      </w:pPr>
      <w:r>
        <w:rPr>
          <w:rFonts w:ascii="Calibri" w:hAnsi="Calibri" w:eastAsia="Microsoft YaHei"/>
        </w:rPr>
        <w:t>Dijkstra 最短路径算法：非负权重图中的最小累计代价路径搜索方法。</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