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how technological capability (TCI) and foundational digital adoption (DAI) relate to the internationalization–performance (I–P) relationship among firms in Singapore, a boundary-case test at the advanced-economy ceiling of the institutional-context (ICRV) spectrum, where digital infrastructure is near-universally diffused.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Using World Bank Enterprise Survey microdata (Singapore 2023, N = 623), the analysis separates firm-internal capability depth (TCI) from foundational digital interfaces and transaction-enabling mechanisms (DAI), estimating quadratic export-intensity models of labour productivity with capability interactions.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Three findings emerge. First, within the observed export-intensity range the I–P relationship is better characterized as predominantly positive with mild quadratic curvature than as an inverted-U, with the implied turning point in a sparsely populated upper tail. Second, TCI is positively associated with labour productivity, but no TCI moderation of the I–P curve is detected. Third, DAI does not produce a uniform productivity premium; its productivity association becomes more positive only at higher export intensity, with the clearest signal in the high-export tail.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At the advanced-economy ceiling, foundational digital adoption functions as a contingent scaling resource whose productivity relevance activates under cross-border coordination demands, rather than as a firm-wide productivity advantage. The boundary-case design clarifies</w:t>
      </w:r>
      <w:r>
        <w:t xml:space="preserve"> </w:t>
      </w:r>
      <w:r>
        <w:rPr>
          <w:iCs/>
          <w:i/>
        </w:rPr>
        <w:t xml:space="preserve">when</w:t>
      </w:r>
      <w:r>
        <w:t xml:space="preserve">, rather than</w:t>
      </w:r>
      <w:r>
        <w:t xml:space="preserve"> </w:t>
      </w:r>
      <w:r>
        <w:rPr>
          <w:iCs/>
          <w:i/>
        </w:rPr>
        <w:t xml:space="preserve">whether</w:t>
      </w:r>
      <w:r>
        <w:t xml:space="preserve">, digital adoption matters for internationalizing firms.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4"/>
    <w:bookmarkStart w:id="29" w:name="Xe3d0fc0bea9a42ce7605565d0964033d7f6ee47"/>
    <w:p>
      <w:pPr>
        <w:pStyle w:val="Heading2"/>
      </w:pPr>
      <w:r>
        <w:t xml:space="preserve">1 Introduction</w:t>
      </w:r>
    </w:p>
    <w:bookmarkStart w:id="25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and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5"/>
    <w:bookmarkStart w:id="26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6"/>
    <w:bookmarkStart w:id="27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7"/>
    <w:bookmarkStart w:id="28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8"/>
    <w:bookmarkEnd w:id="29"/>
    <w:bookmarkStart w:id="38" w:name="X8bf20a63f0decf7b16e99d564b9958ec4fbbb23"/>
    <w:p>
      <w:pPr>
        <w:pStyle w:val="Heading2"/>
      </w:pPr>
      <w:r>
        <w:t xml:space="preserve">2 Theory and Hypotheses</w:t>
      </w:r>
    </w:p>
    <w:bookmarkStart w:id="30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30"/>
    <w:bookmarkStart w:id="31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31"/>
    <w:bookmarkStart w:id="36" w:name="Xfeb3205642325e47f2817bab2cc060c9f999b02"/>
    <w:p>
      <w:pPr>
        <w:pStyle w:val="Heading3"/>
      </w:pPr>
      <w:r>
        <w:t xml:space="preserve">2.3 Hypothesis development</w:t>
      </w:r>
    </w:p>
    <w:bookmarkStart w:id="32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32"/>
    <w:bookmarkStart w:id="33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33"/>
    <w:bookmarkStart w:id="34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4"/>
    <w:bookmarkStart w:id="35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and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5"/>
    <w:bookmarkEnd w:id="36"/>
    <w:bookmarkStart w:id="37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and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7"/>
    <w:bookmarkEnd w:id="38"/>
    <w:bookmarkStart w:id="47" w:name="X167a2da0345881bf36eef0606d50b1063a572d3"/>
    <w:p>
      <w:pPr>
        <w:pStyle w:val="Heading2"/>
      </w:pPr>
      <w:r>
        <w:t xml:space="preserve">3 Methods</w:t>
      </w:r>
    </w:p>
    <w:bookmarkStart w:id="39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9"/>
    <w:bookmarkStart w:id="44" w:name="Xbcf9f12e79107fa2c089aaf13fc6c4fb773f1c2"/>
    <w:p>
      <w:pPr>
        <w:pStyle w:val="Heading3"/>
      </w:pPr>
      <w:r>
        <w:t xml:space="preserve">3.2 Variables</w:t>
      </w:r>
    </w:p>
    <w:bookmarkStart w:id="40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40"/>
    <w:bookmarkStart w:id="41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41"/>
    <w:bookmarkStart w:id="42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42"/>
    <w:bookmarkStart w:id="43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and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43"/>
    <w:bookmarkEnd w:id="44"/>
    <w:bookmarkStart w:id="45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5"/>
    <w:bookmarkStart w:id="46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6"/>
    <w:bookmarkEnd w:id="47"/>
    <w:bookmarkStart w:id="53" w:name="X121719332867ee227f0a04b486098cee978c6e6"/>
    <w:p>
      <w:pPr>
        <w:pStyle w:val="Heading2"/>
      </w:pPr>
      <w:r>
        <w:t xml:space="preserve">4 Results</w:t>
      </w:r>
    </w:p>
    <w:bookmarkStart w:id="48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8"/>
    <w:bookmarkStart w:id="49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and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9"/>
    <w:bookmarkStart w:id="50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50"/>
    <w:bookmarkStart w:id="51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and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51"/>
    <w:bookmarkStart w:id="52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52"/>
    <w:bookmarkEnd w:id="53"/>
    <w:bookmarkStart w:id="56" w:name="X735612638e4e736e4693e459c258977262c0dfc"/>
    <w:p>
      <w:pPr>
        <w:pStyle w:val="Heading2"/>
      </w:pPr>
      <w:r>
        <w:t xml:space="preserve">5 Discussion</w:t>
      </w:r>
    </w:p>
    <w:bookmarkStart w:id="54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and Dhanaraj, 2019; Stallkamp and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4"/>
    <w:bookmarkStart w:id="55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5"/>
    <w:bookmarkEnd w:id="56"/>
    <w:bookmarkStart w:id="57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7"/>
    <w:bookmarkStart w:id="58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8"/>
    <w:bookmarkStart w:id="6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9">
        <w:hyperlink r:id="rId5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60"/>
    <w:bookmarkStart w:id="6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61"/>
    <w:bookmarkStart w:id="6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2"/>
    <w:bookmarkStart w:id="63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63"/>
    <w:bookmarkStart w:id="65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5"/>
    <w:bookmarkStart w:id="10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and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6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and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and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7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and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8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9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and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71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and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72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and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3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and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4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5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and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6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and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7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and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8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and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9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and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80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and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81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82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and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3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and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4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5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and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6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and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7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8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9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and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90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91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92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and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3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and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4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and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5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6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7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8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9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100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2026-06-08T04:35:55Z</dcterms:created>
  <dcterms:modified xsi:type="dcterms:W3CDTF">2026-06-08T04:35:55Z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