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t xml:space="preserve">We conduct a three-level meta-analytic regression analysis (MARA) examining whether country-level digital adoption (cDAI), institutional context regime (ICRV), and Digital Paradox Lifecycle (DPL) phase moderate the internationalization–performance (I→P) relationship, testing three theoretically motivated moderators that prior meta-analyses have not examined. A systematic search following PRISMA 2020 protocols on Web of Science and Scopus (1977–2026) 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The three-level MARA (Cheung, 2014; Van den Noortgate et al., 2013) decomposes heterogeneity into within-study and between-study components using</w:t>
      </w:r>
      <w:r>
        <w:t xml:space="preserve"> </w:t>
      </w:r>
      <w:r>
        <w:rPr>
          <w:rStyle w:val="VerbatimChar"/>
        </w:rPr>
        <w:t xml:space="preserve">metafor</w:t>
      </w:r>
      <w:r>
        <w:t xml:space="preserve"> </w:t>
      </w:r>
      <w:r>
        <w:t xml:space="preserve">in R, with OSF pre-registration preceding effect-size extraction and inter-coder reliability κ ≥ 0.70 on a 20% 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prior baselines.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whereas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positive but attenuated. This first three-level MARA of I→P, spanning 49 economies,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pre-registration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237,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237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V)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SIDS/V),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237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237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 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237 studies from 49 economies, K = 287</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287 effects within k = 237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 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Pre-registration on the Open Science Framework (OSF) preceded all</w:t>
      </w:r>
      <w:r>
        <w:t xml:space="preserve"> </w:t>
      </w:r>
      <w:r>
        <w:t xml:space="preserve">effect-size extraction activities;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w:t>
      </w:r>
      <w:r>
        <w:t xml:space="preserve"> </w:t>
      </w:r>
      <w:r>
        <w:t xml:space="preserve">Science (WoS Core Collection: SSCI, SCI-E, ESCI) and Scopus, the two</w:t>
      </w:r>
      <w:r>
        <w:t xml:space="preserve"> </w:t>
      </w:r>
      <w:r>
        <w:t xml:space="preserve">most comprehensive multi-disciplinary databases for peer-reviewed</w:t>
      </w:r>
      <w:r>
        <w:t xml:space="preserve"> </w:t>
      </w:r>
      <w:r>
        <w:t xml:space="preserve">international business research (Kraus et al., 2022).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pre-registration.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was registered on OSF prior to</w:t>
      </w:r>
      <w:r>
        <w:t xml:space="preserve"> </w:t>
      </w:r>
      <w:r>
        <w:t xml:space="preserve">database access. The registration identifier will be inserted at</w:t>
      </w:r>
      <w:r>
        <w:t xml:space="preserve"> </w:t>
      </w:r>
      <w:r>
        <w:t xml:space="preserve">acceptance;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Records identified from electronic databases</w:t>
      </w:r>
      <w:r>
        <w:t xml:space="preserve"> </w:t>
      </w:r>
      <w:r>
        <w:t xml:space="preserve">(WoS + Scopus): [</w:t>
      </w:r>
      <w:r>
        <w:rPr>
          <w:iCs/>
          <w:i/>
        </w:rPr>
        <w:t xml:space="preserve">n</w:t>
      </w:r>
      <w:r>
        <w:t xml:space="preserve"> </w:t>
      </w:r>
      <w:r>
        <w:t xml:space="preserve">= TBD] → After automated deduplication: [</w:t>
      </w:r>
      <w:r>
        <w:rPr>
          <w:iCs/>
          <w:i/>
        </w:rPr>
        <w:t xml:space="preserve">n</w:t>
      </w:r>
      <w:r>
        <w:t xml:space="preserve"> </w:t>
      </w:r>
      <w:r>
        <w:t xml:space="preserve">=</w:t>
      </w:r>
      <w:r>
        <w:t xml:space="preserve"> </w:t>
      </w:r>
      <w:r>
        <w:t xml:space="preserve">TBD] → Title/abstract screen (two independent coders): [</w:t>
      </w:r>
      <w:r>
        <w:rPr>
          <w:iCs/>
          <w:i/>
        </w:rPr>
        <w:t xml:space="preserve">n</w:t>
      </w:r>
      <w:r>
        <w:t xml:space="preserve"> </w:t>
      </w:r>
      <w:r>
        <w:t xml:space="preserve">= TBD]</w:t>
      </w:r>
      <w:r>
        <w:t xml:space="preserve"> </w:t>
      </w:r>
      <w:r>
        <w:t xml:space="preserve">retained → Full-text eligibility assessment: [</w:t>
      </w:r>
      <w:r>
        <w:rPr>
          <w:iCs/>
          <w:i/>
        </w:rPr>
        <w:t xml:space="preserve">n</w:t>
      </w:r>
      <w:r>
        <w:t xml:space="preserve"> </w:t>
      </w:r>
      <w:r>
        <w:t xml:space="preserve">= TBD] assessed →</w:t>
      </w:r>
      <w:r>
        <w:t xml:space="preserve"> </w:t>
      </w:r>
      <w:r>
        <w:t xml:space="preserve">Effect size extractable and meeting all eligibility criteria: [</w:t>
      </w:r>
      <w:r>
        <w:rPr>
          <w:iCs/>
          <w:i/>
        </w:rPr>
        <w:t xml:space="preserve">k</w:t>
      </w:r>
      <w:r>
        <w:t xml:space="preserve"> </w:t>
      </w:r>
      <w:r>
        <w:t xml:space="preserve">=</w:t>
      </w:r>
      <w:r>
        <w:t xml:space="preserve"> </w:t>
      </w:r>
      <w:r>
        <w:t xml:space="preserve">TBD studies;</w:t>
      </w:r>
      <w:r>
        <w:t xml:space="preserve"> </w:t>
      </w:r>
      <w:r>
        <w:rPr>
          <w:iCs/>
          <w:i/>
        </w:rPr>
        <w:t xml:space="preserve">K</w:t>
      </w:r>
      <w:r>
        <w:t xml:space="preserve"> </w:t>
      </w:r>
      <w:r>
        <w:t xml:space="preserve">= TBD effect sizes]. Detailed exclusion reasons at</w:t>
      </w:r>
      <w:r>
        <w:t xml:space="preserve"> </w:t>
      </w:r>
      <w:r>
        <w:t xml:space="preserve">each screening stage are reported in Appendix A (PRISMA 2020 flow</w:t>
      </w:r>
      <w:r>
        <w:t xml:space="preserve"> </w:t>
      </w:r>
      <w:r>
        <w:t xml:space="preserve">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w:t>
      </w:r>
      <w:r>
        <w:t xml:space="preserve"> </w:t>
      </w:r>
      <w:r>
        <w:t xml:space="preserve">287 effect sizes) was assembled from backward citation screening and</w:t>
      </w:r>
      <w:r>
        <w:t xml:space="preserve"> </w:t>
      </w:r>
      <w:r>
        <w:t xml:space="preserve">hand-search prior to the formal database search; all counts will be</w:t>
      </w:r>
      <w:r>
        <w:t xml:space="preserve"> </w:t>
      </w:r>
      <w:r>
        <w:t xml:space="preserve">updated to confirmed figures after the formal WoS/Scopus search is</w:t>
      </w:r>
      <w:r>
        <w:t xml:space="preserve"> </w:t>
      </w:r>
      <w:r>
        <w:t xml:space="preserve">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w:t>
      </w:r>
      <w:r>
        <w:t xml:space="preserve"> </w:t>
      </w:r>
      <w:r>
        <w:t xml:space="preserve">each eligible study by the primary coder (PI: Đỗ Thùy Hương),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Six-code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w:t>
      </w:r>
      <w:r>
        <w:t xml:space="preserve"> </w:t>
      </w:r>
      <w:r>
        <w:t xml:space="preserve">V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w:t>
      </w:r>
      <w:r>
        <w:t xml:space="preserve"> </w:t>
      </w:r>
      <w:r>
        <w:t xml:space="preserve">pre-formal-search).</w:t>
      </w:r>
    </w:p>
    <w:p>
      <w:pPr>
        <w:pStyle w:val="BodyText"/>
      </w:pPr>
      <w:r>
        <w:rPr>
          <w:bCs/>
          <w:b/>
        </w:rPr>
        <w:t xml:space="preserve">Table 3.1, Inter-coder reliability statistics</w:t>
      </w:r>
      <w:r>
        <w:t xml:space="preserve"> </w:t>
      </w:r>
      <w:r>
        <w:rPr>
          <w:iCs/>
          <w:i/>
        </w:rPr>
        <w:t xml:space="preserve">(20% double-coded</w:t>
      </w:r>
      <w:r>
        <w:rPr>
          <w:iCs/>
          <w:i/>
        </w:rPr>
        <w:t xml:space="preserve"> </w:t>
      </w:r>
      <w:r>
        <w:rPr>
          <w:iCs/>
          <w:i/>
        </w:rPr>
        <w:t xml:space="preserve">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w:t>
      </w:r>
      <w:r>
        <w:t xml:space="preserve"> </w:t>
      </w:r>
      <w:r>
        <w:t xml:space="preserve">categorical moderators and ICC(2, 1) ≥ 0.80 for cDAI. Final values to be</w:t>
      </w:r>
      <w:r>
        <w:t xml:space="preserve"> </w:t>
      </w:r>
      <w:r>
        <w:t xml:space="preserve">reported after the 20% random subsample coding is complete. Protocol for</w:t>
      </w:r>
      <w:r>
        <w:t xml:space="preserve"> </w:t>
      </w:r>
      <w:r>
        <w:t xml:space="preserve">resolving Regime II/III boundary disagreements: PI lookup of WGI Rule of</w:t>
      </w:r>
      <w:r>
        <w:t xml:space="preserve"> </w:t>
      </w:r>
      <w:r>
        <w:t xml:space="preserve">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rPr>
        <w:t xml:space="preserve">K =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w:t>
      </w:r>
      <w:r>
        <w:t xml:space="preserve"> </w:t>
      </w:r>
      <w:r>
        <w:t xml:space="preserve">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cDAI and DPL counts are pre-formal-search; final values are pending</w:t>
      </w:r>
      <w:r>
        <w:t xml:space="preserve"> </w:t>
      </w:r>
      <w:r>
        <w:t xml:space="preserve">formal WoS/Scopus search and complete coding. Study (</w:t>
      </w:r>
      <w:r>
        <w:rPr>
          <w:iCs/>
          <w:i/>
        </w:rPr>
        <w:t xml:space="preserve">k</w:t>
      </w:r>
      <w:r>
        <w:t xml:space="preserve">) counts by</w:t>
      </w:r>
      <w:r>
        <w:t xml:space="preserve"> </w:t>
      </w:r>
      <w:r>
        <w:t xml:space="preserve">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237 sample. A larger sample with better resolution across</w:t>
      </w:r>
      <w:r>
        <w:t xml:space="preserve"> </w:t>
      </w:r>
      <w:r>
        <w:t xml:space="preserve">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237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237 studies from 49 economies</w:t>
      </w:r>
      <w:r>
        <w:t xml:space="preserve"> </w:t>
      </w:r>
      <w:r>
        <w:t xml:space="preserve">(</w:t>
      </w:r>
      <w:r>
        <w:rPr>
          <w:iCs/>
          <w:i/>
        </w:rPr>
        <w:t xml:space="preserve">K</w:t>
      </w:r>
      <w:r>
        <w:t xml:space="preserve"> </w:t>
      </w:r>
      <w:r>
        <w:t xml:space="preserve">= 287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237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current working database. Future formal-search</w:t>
      </w:r>
      <w:r>
        <w:t xml:space="preserve"> </w:t>
      </w:r>
      <w:r>
        <w:t xml:space="preserve">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Pre-registration on OSF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studies from 49 economies (</w:t>
      </w:r>
      <w:r>
        <w:rPr>
          <w:iCs/>
          <w:i/>
        </w:rPr>
        <w:t xml:space="preserve">K</w:t>
      </w:r>
      <w:r>
        <w:t xml:space="preserve"> </w:t>
      </w:r>
      <w:r>
        <w:t xml:space="preserve">= 287</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237,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inter-coder reliability was assessed on a 20%</w:t>
      </w:r>
      <w:r>
        <w:t xml:space="preserve"> </w:t>
      </w:r>
      <w:r>
        <w:t xml:space="preserve">double-coded subsample (</w:t>
      </w:r>
      <w:r>
        <w:rPr>
          <w:iCs/>
          <w:i/>
        </w:rPr>
        <w:t xml:space="preserve">k</w:t>
      </w:r>
      <w:r>
        <w:t xml:space="preserve"> </w:t>
      </w:r>
      <w:r>
        <w:t xml:space="preserve">= 47 studies); single-coder extraction for</w:t>
      </w:r>
      <w:r>
        <w:t xml:space="preserve"> </w:t>
      </w:r>
      <w:r>
        <w:t xml:space="preserve">the remaining 80% cannot be validated without full dual-coding.</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pre-registration,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pre-registration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appendix-a-prisma-2020-flow-diagram"/>
    <w:p>
      <w:pPr>
        <w:pStyle w:val="Heading2"/>
      </w:pPr>
      <w:r>
        <w:t xml:space="preserve">Appendix A, PRISMA 2020 Flow Diagram</w:t>
      </w:r>
    </w:p>
    <w:p>
      <w:pPr>
        <w:pStyle w:val="BlockText"/>
      </w:pPr>
      <w:r>
        <w:rPr>
          <w:bCs/>
          <w:b/>
        </w:rPr>
        <w:t xml:space="preserve">⚠️ All counts marked [TBD] will be confirmed after formal WoS +</w:t>
      </w:r>
      <w:r>
        <w:rPr>
          <w:bCs/>
          <w:b/>
        </w:rPr>
        <w:t xml:space="preserve"> </w:t>
      </w:r>
      <w:r>
        <w:rPr>
          <w:bCs/>
          <w:b/>
        </w:rPr>
        <w:t xml:space="preserve">Scopus search.</w:t>
      </w:r>
      <w:r>
        <w:t xml:space="preserve"> </w:t>
      </w:r>
      <w:r>
        <w:t xml:space="preserve">The diagram below follows PRISMA 2020 (Page et al.,</w:t>
      </w:r>
      <w:r>
        <w:t xml:space="preserve"> </w:t>
      </w:r>
      <w:r>
        <w:t xml:space="preserve">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w:t>
      </w:r>
      <w:r>
        <w:rPr>
          <w:iCs/>
          <w:i/>
        </w:rPr>
        <w:t xml:space="preserve"> </w:t>
      </w:r>
      <w:r>
        <w:rPr>
          <w:iCs/>
          <w:i/>
        </w:rPr>
        <w:t xml:space="preserve">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237 sample and the three-level structure</w:t>
      </w:r>
      <w:r>
        <w:t xml:space="preserve"> </w:t>
      </w:r>
      <w:r>
        <w:t xml:space="preserve">that partitions variance across levels correctly. The narrower 95% CI</w:t>
      </w:r>
      <w:r>
        <w:t xml:space="preserve"> </w:t>
      </w:r>
      <w:r>
        <w:t xml:space="preserve">reflects the precision gain from 237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 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2026-06-08T04:35:54Z</dcterms:created>
  <dcterms:modified xsi:type="dcterms:W3CDTF">2026-06-08T04:35:54Z</dcterms:modified>
</cp:coreProperties>
</file>

<file path=docProps/custom.xml><?xml version="1.0" encoding="utf-8"?>
<Properties xmlns="http://schemas.openxmlformats.org/officeDocument/2006/custom-properties" xmlns:vt="http://schemas.openxmlformats.org/officeDocument/2006/docPropsVTypes"/>
</file>